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before="240" w:after="2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ВЕДОМОСТЬ ОБЪЕМОВ РАБОТ </w:t>
      </w:r>
      <w:r>
        <w:rPr>
          <w:b/>
          <w:sz w:val="28"/>
          <w:szCs w:val="28"/>
        </w:rPr>
        <w:t>№2</w:t>
      </w:r>
    </w:p>
    <w:tbl>
      <w:tblPr>
        <w:tblStyle w:val="a8"/>
        <w:tblW w:w="9356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VBand="1" w:noHBand="0" w:lastColumn="0" w:firstColumn="1" w:lastRow="0" w:firstRow="1"/>
      </w:tblPr>
      <w:tblGrid>
        <w:gridCol w:w="2629"/>
        <w:gridCol w:w="6726"/>
      </w:tblGrid>
      <w:tr>
        <w:trPr>
          <w:trHeight w:val="454" w:hRule="atLeast"/>
          <w:cantSplit w:val="true"/>
        </w:trPr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120" w:after="60"/>
              <w:jc w:val="left"/>
              <w:rPr>
                <w:rFonts w:eastAsia="Calibri" w:eastAsiaTheme="minorHAnsi"/>
                <w:lang w:eastAsia="en-US"/>
              </w:rPr>
            </w:pPr>
            <w:r>
              <w:rPr>
                <w:rFonts w:eastAsia="Calibri" w:eastAsiaTheme="minorHAnsi"/>
                <w:kern w:val="0"/>
                <w:lang w:val="ru-RU" w:eastAsia="en-US" w:bidi="ar-SA"/>
              </w:rPr>
              <w:t>Наименование объекта</w:t>
            </w:r>
          </w:p>
        </w:tc>
        <w:tc>
          <w:tcPr>
            <w:tcW w:w="6726" w:type="dxa"/>
            <w:tcBorders>
              <w:top w:val="nil"/>
              <w:left w:val="nil"/>
              <w:right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120" w:after="60"/>
              <w:jc w:val="left"/>
              <w:rPr>
                <w:rFonts w:eastAsia="Calibri" w:eastAsiaTheme="minorHAnsi"/>
                <w:lang w:eastAsia="en-US"/>
              </w:rPr>
            </w:pPr>
            <w:r>
              <w:rPr>
                <w:rFonts w:eastAsia="Calibri" w:eastAsiaTheme="minorHAnsi"/>
                <w:kern w:val="0"/>
                <w:lang w:val="ru-RU" w:eastAsia="en-US" w:bidi="ar-SA"/>
              </w:rPr>
              <w:t xml:space="preserve">Текущий ремонт верхового откоса и автодороги восточной дамбы БСР ГЭС-3 </w:t>
            </w:r>
          </w:p>
        </w:tc>
      </w:tr>
      <w:tr>
        <w:trPr>
          <w:trHeight w:val="454" w:hRule="atLeast"/>
          <w:cantSplit w:val="true"/>
        </w:trPr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before="120" w:after="60"/>
              <w:jc w:val="left"/>
              <w:rPr>
                <w:rFonts w:eastAsia="Calibri" w:eastAsiaTheme="minorHAnsi"/>
                <w:lang w:eastAsia="en-US"/>
              </w:rPr>
            </w:pPr>
            <w:r>
              <w:rPr>
                <w:rFonts w:eastAsia="Calibri" w:eastAsiaTheme="minorHAnsi"/>
                <w:kern w:val="0"/>
                <w:lang w:val="ru-RU" w:eastAsia="en-US" w:bidi="ar-SA"/>
              </w:rPr>
              <w:t>Наименование здания (сооружения)</w:t>
            </w:r>
          </w:p>
        </w:tc>
        <w:tc>
          <w:tcPr>
            <w:tcW w:w="6726" w:type="dxa"/>
            <w:tcBorders>
              <w:left w:val="nil"/>
              <w:right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eastAsia="Calibri" w:eastAsiaTheme="minorHAnsi"/>
                <w:lang w:eastAsia="en-US"/>
              </w:rPr>
            </w:pPr>
            <w:r>
              <w:rPr>
                <w:rFonts w:eastAsia="Calibri" w:eastAsiaTheme="minorHAnsi"/>
                <w:color w:val="000000"/>
                <w:kern w:val="0"/>
                <w:lang w:val="ru-RU" w:bidi="ar-SA"/>
              </w:rPr>
              <w:t xml:space="preserve">Устройство дамбы   до отм. 463.00   и  крепление   откосов. </w:t>
            </w:r>
          </w:p>
        </w:tc>
      </w:tr>
      <w:tr>
        <w:trPr>
          <w:trHeight w:val="454" w:hRule="atLeast"/>
          <w:cantSplit w:val="true"/>
        </w:trPr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120" w:after="60"/>
              <w:jc w:val="left"/>
              <w:rPr>
                <w:rFonts w:eastAsia="Calibri" w:eastAsiaTheme="minorHAnsi"/>
                <w:lang w:eastAsia="en-US"/>
              </w:rPr>
            </w:pPr>
            <w:r>
              <w:rPr>
                <w:rFonts w:eastAsia="Calibri" w:eastAsiaTheme="minorHAnsi"/>
                <w:kern w:val="0"/>
                <w:lang w:val="ru-RU" w:eastAsia="en-US" w:bidi="ar-SA"/>
              </w:rPr>
              <w:t>Комплект чертежей</w:t>
            </w:r>
          </w:p>
        </w:tc>
        <w:tc>
          <w:tcPr>
            <w:tcW w:w="6726" w:type="dxa"/>
            <w:tcBorders>
              <w:left w:val="nil"/>
              <w:right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eastAsia="Calibri" w:eastAsiaTheme="minorHAnsi"/>
                <w:lang w:eastAsia="en-US"/>
              </w:rPr>
            </w:pPr>
            <w:r>
              <w:rPr>
                <w:rFonts w:eastAsia="Calibri" w:eastAsiaTheme="minorHAnsi"/>
                <w:lang w:eastAsia="en-US"/>
              </w:rPr>
            </w:r>
          </w:p>
        </w:tc>
      </w:tr>
    </w:tbl>
    <w:p>
      <w:pPr>
        <w:pStyle w:val="Normal"/>
        <w:spacing w:before="0" w:after="120"/>
        <w:ind w:firstLine="851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</w:r>
    </w:p>
    <w:tbl>
      <w:tblPr>
        <w:tblW w:w="9422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VBand="1" w:noHBand="0" w:lastColumn="0" w:firstColumn="1" w:lastRow="0" w:firstRow="1"/>
      </w:tblPr>
      <w:tblGrid>
        <w:gridCol w:w="988"/>
        <w:gridCol w:w="4858"/>
        <w:gridCol w:w="851"/>
        <w:gridCol w:w="992"/>
        <w:gridCol w:w="1733"/>
      </w:tblGrid>
      <w:tr>
        <w:trPr>
          <w:tblHeader w:val="true"/>
          <w:trHeight w:val="454" w:hRule="atLeast"/>
          <w:cantSplit w:val="true"/>
        </w:trPr>
        <w:tc>
          <w:tcPr>
            <w:tcW w:w="9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23"/>
              <w:widowControl w:val="false"/>
              <w:spacing w:before="60" w:after="60"/>
              <w:jc w:val="center"/>
              <w:rPr/>
            </w:pPr>
            <w:r>
              <w:rPr/>
              <w:t xml:space="preserve">№ </w:t>
            </w:r>
            <w:r>
              <w:rPr/>
              <w:t>п/п</w:t>
            </w:r>
          </w:p>
        </w:tc>
        <w:tc>
          <w:tcPr>
            <w:tcW w:w="48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23"/>
              <w:widowControl w:val="false"/>
              <w:spacing w:before="60" w:after="60"/>
              <w:jc w:val="center"/>
              <w:rPr/>
            </w:pPr>
            <w:r>
              <w:rPr/>
              <w:t>Наименование работ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23"/>
              <w:widowControl w:val="false"/>
              <w:spacing w:before="60" w:after="60"/>
              <w:jc w:val="center"/>
              <w:rPr/>
            </w:pPr>
            <w:r>
              <w:rPr/>
              <w:t>Ед. изм.</w:t>
            </w:r>
          </w:p>
        </w:tc>
        <w:tc>
          <w:tcPr>
            <w:tcW w:w="27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23"/>
              <w:widowControl w:val="false"/>
              <w:spacing w:before="60" w:after="60"/>
              <w:jc w:val="center"/>
              <w:rPr/>
            </w:pPr>
            <w:r>
              <w:rPr/>
              <w:t>Кол-во</w:t>
            </w:r>
          </w:p>
        </w:tc>
      </w:tr>
      <w:tr>
        <w:trPr>
          <w:tblHeader w:val="true"/>
          <w:trHeight w:val="454" w:hRule="atLeast"/>
          <w:cantSplit w:val="true"/>
        </w:trPr>
        <w:tc>
          <w:tcPr>
            <w:tcW w:w="98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23"/>
              <w:widowControl w:val="false"/>
              <w:spacing w:before="60" w:after="60"/>
              <w:jc w:val="center"/>
              <w:rPr/>
            </w:pPr>
            <w:r>
              <w:rPr/>
            </w:r>
          </w:p>
        </w:tc>
        <w:tc>
          <w:tcPr>
            <w:tcW w:w="485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23"/>
              <w:widowControl w:val="false"/>
              <w:spacing w:before="60" w:after="60"/>
              <w:jc w:val="center"/>
              <w:rPr/>
            </w:pPr>
            <w:r>
              <w:rPr/>
            </w:r>
          </w:p>
        </w:tc>
        <w:tc>
          <w:tcPr>
            <w:tcW w:w="8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23"/>
              <w:widowControl w:val="false"/>
              <w:spacing w:before="60" w:after="60"/>
              <w:jc w:val="center"/>
              <w:rPr/>
            </w:pPr>
            <w:r>
              <w:rPr/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23"/>
              <w:widowControl w:val="false"/>
              <w:spacing w:before="60" w:after="60"/>
              <w:jc w:val="center"/>
              <w:rPr/>
            </w:pPr>
            <w:r>
              <w:rPr/>
              <w:t>на 1 шт.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23"/>
              <w:widowControl w:val="false"/>
              <w:spacing w:before="60" w:after="60"/>
              <w:jc w:val="center"/>
              <w:rPr/>
            </w:pPr>
            <w:r>
              <w:rPr/>
              <w:t>всего</w:t>
            </w:r>
          </w:p>
        </w:tc>
      </w:tr>
      <w:tr>
        <w:trPr>
          <w:trHeight w:val="454" w:hRule="atLeast"/>
          <w:cantSplit w:val="true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15"/>
              <w:widowControl w:val="false"/>
              <w:numPr>
                <w:ilvl w:val="0"/>
                <w:numId w:val="0"/>
              </w:numPr>
              <w:spacing w:before="60" w:after="60"/>
              <w:ind w:left="0" w:hanging="0"/>
              <w:rPr>
                <w:color w:val="auto"/>
              </w:rPr>
            </w:pPr>
            <w:r>
              <w:rPr>
                <w:color w:val="auto"/>
              </w:rPr>
            </w:r>
          </w:p>
        </w:tc>
        <w:tc>
          <w:tcPr>
            <w:tcW w:w="4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23"/>
              <w:widowControl w:val="false"/>
              <w:spacing w:before="60" w:after="60"/>
              <w:jc w:val="left"/>
              <w:rPr>
                <w:b/>
                <w:bCs/>
              </w:rPr>
            </w:pPr>
            <w:r>
              <w:rPr>
                <w:b/>
                <w:szCs w:val="24"/>
                <w:u w:val="single"/>
              </w:rPr>
              <w:t>Устройство дамбы и крепление откосов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before="40" w:after="40"/>
              <w:jc w:val="center"/>
              <w:rPr/>
            </w:pPr>
            <w:r>
              <w:rPr/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40" w:after="40"/>
              <w:jc w:val="center"/>
              <w:rPr>
                <w:b/>
              </w:rPr>
            </w:pPr>
            <w:r>
              <w:rPr>
                <w:b/>
              </w:rPr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before="40" w:after="40"/>
              <w:jc w:val="center"/>
              <w:rPr/>
            </w:pPr>
            <w:r>
              <w:rPr/>
            </w:r>
          </w:p>
        </w:tc>
      </w:tr>
      <w:tr>
        <w:trPr>
          <w:trHeight w:val="454" w:hRule="atLeast"/>
          <w:cantSplit w:val="true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15"/>
              <w:widowControl w:val="false"/>
              <w:numPr>
                <w:ilvl w:val="0"/>
                <w:numId w:val="0"/>
              </w:numPr>
              <w:spacing w:before="60" w:after="60"/>
              <w:ind w:left="0" w:hanging="0"/>
              <w:jc w:val="center"/>
              <w:rPr>
                <w:b/>
                <w:bCs/>
              </w:rPr>
            </w:pPr>
            <w:r>
              <w:rPr>
                <w:b/>
                <w:bCs/>
                <w:color w:val="auto"/>
              </w:rPr>
              <w:t>1</w:t>
            </w:r>
          </w:p>
        </w:tc>
        <w:tc>
          <w:tcPr>
            <w:tcW w:w="4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23"/>
              <w:widowControl w:val="false"/>
              <w:spacing w:before="60" w:after="6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Устройство прослойки из нетканого синтетического материала (НСМ) в земляном полотне: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40" w:after="40"/>
              <w:jc w:val="center"/>
              <w:rPr/>
            </w:pPr>
            <w:r>
              <w:rPr/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40" w:after="40"/>
              <w:jc w:val="center"/>
              <w:rPr>
                <w:b/>
              </w:rPr>
            </w:pPr>
            <w:r>
              <w:rPr>
                <w:b/>
              </w:rPr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40" w:after="40"/>
              <w:jc w:val="center"/>
              <w:rPr/>
            </w:pPr>
            <w:r>
              <w:rPr/>
            </w:r>
          </w:p>
        </w:tc>
      </w:tr>
      <w:tr>
        <w:trPr>
          <w:trHeight w:val="454" w:hRule="atLeast"/>
          <w:cantSplit w:val="true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15"/>
              <w:widowControl w:val="false"/>
              <w:numPr>
                <w:ilvl w:val="0"/>
                <w:numId w:val="0"/>
              </w:numPr>
              <w:spacing w:before="60" w:after="60"/>
              <w:ind w:left="0" w:hanging="0"/>
              <w:jc w:val="center"/>
              <w:rPr>
                <w:color w:val="auto"/>
              </w:rPr>
            </w:pPr>
            <w:r>
              <w:rPr>
                <w:color w:val="auto"/>
              </w:rPr>
              <w:t>1.1</w:t>
            </w:r>
          </w:p>
        </w:tc>
        <w:tc>
          <w:tcPr>
            <w:tcW w:w="4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23"/>
              <w:widowControl w:val="false"/>
              <w:spacing w:before="60" w:after="60"/>
              <w:jc w:val="left"/>
              <w:rPr>
                <w:szCs w:val="24"/>
              </w:rPr>
            </w:pPr>
            <w:r>
              <w:rPr/>
              <w:t>Геотекстиль нетканый из полиэфирного волокна, иглопробивной, поверхностная плотность 300 г ГОСТ 55028-2012 (дамба, между ПГС и суглинком)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40" w:after="40"/>
              <w:jc w:val="center"/>
              <w:rPr/>
            </w:pPr>
            <w:r>
              <w:rPr/>
              <w:t>м</w:t>
            </w:r>
            <w:r>
              <w:rPr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40" w:after="40"/>
              <w:jc w:val="center"/>
              <w:rPr>
                <w:b/>
              </w:rPr>
            </w:pPr>
            <w:r>
              <w:rPr>
                <w:b/>
              </w:rPr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40" w:after="40"/>
              <w:jc w:val="center"/>
              <w:rPr/>
            </w:pPr>
            <w:r>
              <w:rPr/>
              <w:t>1860,0</w:t>
            </w:r>
          </w:p>
        </w:tc>
      </w:tr>
      <w:tr>
        <w:trPr>
          <w:trHeight w:val="454" w:hRule="atLeast"/>
          <w:cantSplit w:val="true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15"/>
              <w:widowControl w:val="false"/>
              <w:numPr>
                <w:ilvl w:val="0"/>
                <w:numId w:val="0"/>
              </w:numPr>
              <w:spacing w:before="60" w:after="60"/>
              <w:ind w:left="0" w:hanging="0"/>
              <w:jc w:val="center"/>
              <w:rPr>
                <w:color w:val="auto"/>
              </w:rPr>
            </w:pPr>
            <w:r>
              <w:rPr>
                <w:color w:val="auto"/>
              </w:rPr>
              <w:t>1.2</w:t>
            </w:r>
          </w:p>
        </w:tc>
        <w:tc>
          <w:tcPr>
            <w:tcW w:w="4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23"/>
              <w:widowControl w:val="false"/>
              <w:spacing w:before="60" w:after="60"/>
              <w:jc w:val="left"/>
              <w:rPr>
                <w:szCs w:val="24"/>
              </w:rPr>
            </w:pPr>
            <w:r>
              <w:rPr/>
              <w:t>Геотекстиль нетканый из полиэфирного волокна, иглопробивной, поверхностная плотность 300 г ГОСТ 55028-2012 (верховой откос)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40" w:after="40"/>
              <w:jc w:val="center"/>
              <w:rPr/>
            </w:pPr>
            <w:r>
              <w:rPr/>
              <w:t>м</w:t>
            </w:r>
            <w:r>
              <w:rPr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40" w:after="40"/>
              <w:jc w:val="center"/>
              <w:rPr>
                <w:b/>
              </w:rPr>
            </w:pPr>
            <w:r>
              <w:rPr>
                <w:b/>
              </w:rPr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40" w:after="40"/>
              <w:jc w:val="center"/>
              <w:rPr/>
            </w:pPr>
            <w:r>
              <w:rPr/>
              <w:t>1940,0</w:t>
            </w:r>
          </w:p>
        </w:tc>
      </w:tr>
      <w:tr>
        <w:trPr>
          <w:trHeight w:val="454" w:hRule="atLeast"/>
          <w:cantSplit w:val="true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15"/>
              <w:widowControl w:val="false"/>
              <w:numPr>
                <w:ilvl w:val="0"/>
                <w:numId w:val="0"/>
              </w:numPr>
              <w:spacing w:before="60" w:after="60"/>
              <w:ind w:left="0" w:hanging="0"/>
              <w:jc w:val="center"/>
              <w:rPr>
                <w:b/>
                <w:bCs/>
              </w:rPr>
            </w:pPr>
            <w:r>
              <w:rPr>
                <w:b/>
                <w:bCs/>
                <w:color w:val="auto"/>
              </w:rPr>
              <w:t>2</w:t>
            </w:r>
          </w:p>
        </w:tc>
        <w:tc>
          <w:tcPr>
            <w:tcW w:w="4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23"/>
              <w:widowControl w:val="false"/>
              <w:spacing w:before="60" w:after="6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Возведение тела дамбы с уплотнением  катками массой свыше 16 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40" w:after="40"/>
              <w:jc w:val="center"/>
              <w:rPr/>
            </w:pPr>
            <w:r>
              <w:rPr/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40" w:after="40"/>
              <w:jc w:val="center"/>
              <w:rPr>
                <w:b/>
              </w:rPr>
            </w:pPr>
            <w:r>
              <w:rPr>
                <w:b/>
              </w:rPr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40" w:after="40"/>
              <w:jc w:val="center"/>
              <w:rPr/>
            </w:pPr>
            <w:r>
              <w:rPr/>
            </w:r>
          </w:p>
        </w:tc>
      </w:tr>
      <w:tr>
        <w:trPr>
          <w:trHeight w:val="454" w:hRule="atLeast"/>
          <w:cantSplit w:val="true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15"/>
              <w:widowControl w:val="false"/>
              <w:numPr>
                <w:ilvl w:val="0"/>
                <w:numId w:val="0"/>
              </w:numPr>
              <w:spacing w:before="60" w:after="60"/>
              <w:ind w:left="0" w:hanging="0"/>
              <w:jc w:val="center"/>
              <w:rPr>
                <w:color w:val="auto"/>
              </w:rPr>
            </w:pPr>
            <w:r>
              <w:rPr>
                <w:color w:val="auto"/>
              </w:rPr>
              <w:t>2.1</w:t>
            </w:r>
          </w:p>
        </w:tc>
        <w:tc>
          <w:tcPr>
            <w:tcW w:w="4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23"/>
              <w:widowControl w:val="false"/>
              <w:spacing w:before="60" w:after="60"/>
              <w:jc w:val="left"/>
              <w:rPr>
                <w:szCs w:val="24"/>
              </w:rPr>
            </w:pPr>
            <w:r>
              <w:rPr/>
              <w:t xml:space="preserve">Суглинок, для формирования тела дамбы, </w:t>
            </w:r>
            <w:r>
              <w:rPr>
                <w:lang w:val="en-US"/>
              </w:rPr>
              <w:t>t</w:t>
            </w:r>
            <w:r>
              <w:rPr/>
              <w:t>=2000мм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40" w:after="40"/>
              <w:jc w:val="center"/>
              <w:rPr/>
            </w:pPr>
            <w:r>
              <w:rPr/>
              <w:t>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40" w:after="40"/>
              <w:jc w:val="center"/>
              <w:rPr>
                <w:b/>
              </w:rPr>
            </w:pPr>
            <w:r>
              <w:rPr>
                <w:b/>
              </w:rPr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40" w:after="40"/>
              <w:jc w:val="center"/>
              <w:rPr/>
            </w:pPr>
            <w:r>
              <w:rPr/>
              <w:t>6465,0</w:t>
            </w:r>
          </w:p>
        </w:tc>
      </w:tr>
      <w:tr>
        <w:trPr>
          <w:trHeight w:val="454" w:hRule="atLeast"/>
          <w:cantSplit w:val="true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15"/>
              <w:widowControl w:val="false"/>
              <w:numPr>
                <w:ilvl w:val="0"/>
                <w:numId w:val="0"/>
              </w:numPr>
              <w:spacing w:before="60" w:after="60"/>
              <w:ind w:left="0" w:hanging="0"/>
              <w:jc w:val="center"/>
              <w:rPr>
                <w:color w:val="auto"/>
              </w:rPr>
            </w:pPr>
            <w:r>
              <w:rPr>
                <w:color w:val="auto"/>
              </w:rPr>
              <w:t>2.2</w:t>
            </w:r>
          </w:p>
        </w:tc>
        <w:tc>
          <w:tcPr>
            <w:tcW w:w="4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60" w:after="60"/>
              <w:jc w:val="both"/>
              <w:rPr/>
            </w:pPr>
            <w:r>
              <w:rPr/>
              <w:t xml:space="preserve">ПГС, </w:t>
            </w:r>
            <w:r>
              <w:rPr>
                <w:lang w:val="en-US"/>
              </w:rPr>
              <w:t>t=1000</w:t>
            </w:r>
            <w:r>
              <w:rPr/>
              <w:t>мм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40" w:after="40"/>
              <w:jc w:val="center"/>
              <w:rPr/>
            </w:pPr>
            <w:r>
              <w:rPr/>
              <w:t>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40" w:after="40"/>
              <w:jc w:val="center"/>
              <w:rPr>
                <w:b/>
              </w:rPr>
            </w:pPr>
            <w:r>
              <w:rPr>
                <w:b/>
              </w:rPr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40" w:after="40"/>
              <w:jc w:val="center"/>
              <w:rPr/>
            </w:pPr>
            <w:r>
              <w:rPr/>
              <w:t>2586,0</w:t>
            </w:r>
          </w:p>
        </w:tc>
      </w:tr>
      <w:tr>
        <w:trPr>
          <w:trHeight w:val="454" w:hRule="atLeast"/>
          <w:cantSplit w:val="true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15"/>
              <w:widowControl w:val="false"/>
              <w:numPr>
                <w:ilvl w:val="0"/>
                <w:numId w:val="0"/>
              </w:numPr>
              <w:spacing w:before="60" w:after="60"/>
              <w:ind w:left="0" w:hanging="0"/>
              <w:jc w:val="center"/>
              <w:rPr>
                <w:b/>
                <w:bCs/>
              </w:rPr>
            </w:pPr>
            <w:r>
              <w:rPr>
                <w:b/>
                <w:bCs/>
                <w:color w:val="auto"/>
              </w:rPr>
              <w:t>3</w:t>
            </w:r>
          </w:p>
        </w:tc>
        <w:tc>
          <w:tcPr>
            <w:tcW w:w="4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spacing w:before="60" w:after="6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Крепление откосов при уклоне 1:2 от 0,2м до 0,5 м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40" w:after="40"/>
              <w:jc w:val="center"/>
              <w:rPr/>
            </w:pPr>
            <w:r>
              <w:rPr/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40" w:after="40"/>
              <w:jc w:val="center"/>
              <w:rPr>
                <w:b/>
              </w:rPr>
            </w:pPr>
            <w:r>
              <w:rPr>
                <w:b/>
              </w:rPr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40" w:after="40"/>
              <w:jc w:val="center"/>
              <w:rPr/>
            </w:pPr>
            <w:r>
              <w:rPr/>
            </w:r>
          </w:p>
        </w:tc>
      </w:tr>
      <w:tr>
        <w:trPr>
          <w:trHeight w:val="454" w:hRule="atLeast"/>
          <w:cantSplit w:val="true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15"/>
              <w:widowControl w:val="false"/>
              <w:numPr>
                <w:ilvl w:val="0"/>
                <w:numId w:val="0"/>
              </w:numPr>
              <w:spacing w:before="60" w:after="60"/>
              <w:ind w:left="0" w:hanging="0"/>
              <w:jc w:val="center"/>
              <w:rPr>
                <w:color w:val="auto"/>
              </w:rPr>
            </w:pPr>
            <w:r>
              <w:rPr>
                <w:color w:val="auto"/>
              </w:rPr>
              <w:t>3.1</w:t>
            </w:r>
          </w:p>
        </w:tc>
        <w:tc>
          <w:tcPr>
            <w:tcW w:w="4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spacing w:before="60" w:after="60"/>
              <w:jc w:val="left"/>
              <w:rPr/>
            </w:pPr>
            <w:r>
              <w:rPr>
                <w:szCs w:val="24"/>
              </w:rPr>
              <w:t xml:space="preserve">Устройство подготовки под плиты из песка средней крупности по ГОСТ 8736-2014, </w:t>
            </w:r>
            <w:r>
              <w:rPr>
                <w:szCs w:val="24"/>
                <w:lang w:val="en-US"/>
              </w:rPr>
              <w:t>h</w:t>
            </w:r>
            <w:r>
              <w:rPr>
                <w:szCs w:val="24"/>
              </w:rPr>
              <w:t>=0,5м.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40" w:after="40"/>
              <w:jc w:val="center"/>
              <w:rPr/>
            </w:pPr>
            <w:r>
              <w:rPr/>
              <w:t>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40" w:after="40"/>
              <w:jc w:val="center"/>
              <w:rPr>
                <w:b/>
              </w:rPr>
            </w:pPr>
            <w:r>
              <w:rPr>
                <w:b/>
              </w:rPr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40" w:after="40"/>
              <w:jc w:val="center"/>
              <w:rPr/>
            </w:pPr>
            <w:r>
              <w:rPr/>
              <w:t>680,0</w:t>
            </w:r>
          </w:p>
        </w:tc>
      </w:tr>
      <w:tr>
        <w:trPr>
          <w:trHeight w:val="454" w:hRule="atLeast"/>
          <w:cantSplit w:val="true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15"/>
              <w:widowControl w:val="false"/>
              <w:numPr>
                <w:ilvl w:val="0"/>
                <w:numId w:val="0"/>
              </w:numPr>
              <w:spacing w:before="60" w:after="60"/>
              <w:ind w:left="0" w:hanging="0"/>
              <w:jc w:val="center"/>
              <w:rPr>
                <w:color w:val="auto"/>
              </w:rPr>
            </w:pPr>
            <w:r>
              <w:rPr>
                <w:color w:val="auto"/>
              </w:rPr>
              <w:t>3.2</w:t>
            </w:r>
          </w:p>
        </w:tc>
        <w:tc>
          <w:tcPr>
            <w:tcW w:w="4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23"/>
              <w:widowControl w:val="false"/>
              <w:spacing w:before="60" w:after="60"/>
              <w:jc w:val="left"/>
              <w:rPr/>
            </w:pPr>
            <w:r>
              <w:rPr>
                <w:szCs w:val="24"/>
              </w:rPr>
              <w:t xml:space="preserve">Укладка бетона тяжелого мелкозернистого для гидротехнического строительства В25 </w:t>
            </w:r>
            <w:r>
              <w:rPr>
                <w:szCs w:val="24"/>
                <w:lang w:val="en-US"/>
              </w:rPr>
              <w:t>F</w:t>
            </w:r>
            <w:r>
              <w:rPr>
                <w:szCs w:val="24"/>
              </w:rPr>
              <w:t xml:space="preserve">300 W6 </w:t>
              <w:br/>
              <w:t>ГОСТ 26633-2015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40" w:after="40"/>
              <w:jc w:val="center"/>
              <w:rPr/>
            </w:pPr>
            <w:r>
              <w:rPr/>
              <w:t>м³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40" w:after="40"/>
              <w:jc w:val="center"/>
              <w:rPr>
                <w:b/>
              </w:rPr>
            </w:pPr>
            <w:r>
              <w:rPr>
                <w:b/>
              </w:rPr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40" w:after="40"/>
              <w:jc w:val="center"/>
              <w:rPr/>
            </w:pPr>
            <w:r>
              <w:rPr/>
              <w:t>445,0</w:t>
            </w:r>
          </w:p>
        </w:tc>
      </w:tr>
      <w:tr>
        <w:trPr>
          <w:trHeight w:val="454" w:hRule="atLeast"/>
          <w:cantSplit w:val="true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15"/>
              <w:widowControl w:val="false"/>
              <w:numPr>
                <w:ilvl w:val="0"/>
                <w:numId w:val="0"/>
              </w:numPr>
              <w:spacing w:before="60" w:after="60"/>
              <w:ind w:left="0" w:hanging="0"/>
              <w:jc w:val="center"/>
              <w:rPr>
                <w:color w:val="auto"/>
              </w:rPr>
            </w:pPr>
            <w:r>
              <w:rPr>
                <w:color w:val="auto"/>
              </w:rPr>
              <w:t>3.3</w:t>
            </w:r>
          </w:p>
        </w:tc>
        <w:tc>
          <w:tcPr>
            <w:tcW w:w="4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23"/>
              <w:widowControl w:val="false"/>
              <w:spacing w:before="60" w:after="60"/>
              <w:jc w:val="left"/>
              <w:rPr/>
            </w:pPr>
            <w:r>
              <w:rPr>
                <w:szCs w:val="24"/>
              </w:rPr>
              <w:t xml:space="preserve">Установка отдельных арматурных стержней </w:t>
              <w:br/>
              <w:t>пруток 12-А500C ГОСТ 52544-2006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40" w:after="40"/>
              <w:jc w:val="center"/>
              <w:rPr/>
            </w:pPr>
            <w:r>
              <w:rPr/>
              <w:t>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40" w:after="40"/>
              <w:jc w:val="center"/>
              <w:rPr>
                <w:b/>
              </w:rPr>
            </w:pPr>
            <w:r>
              <w:rPr>
                <w:b/>
              </w:rPr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40" w:after="40"/>
              <w:jc w:val="center"/>
              <w:rPr/>
            </w:pPr>
            <w:r>
              <w:rPr/>
              <w:t>15,1</w:t>
            </w:r>
          </w:p>
        </w:tc>
      </w:tr>
      <w:tr>
        <w:trPr>
          <w:trHeight w:val="454" w:hRule="atLeast"/>
          <w:cantSplit w:val="true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15"/>
              <w:widowControl w:val="false"/>
              <w:numPr>
                <w:ilvl w:val="0"/>
                <w:numId w:val="0"/>
              </w:numPr>
              <w:spacing w:before="60" w:after="60"/>
              <w:ind w:left="0" w:hanging="0"/>
              <w:jc w:val="center"/>
              <w:rPr>
                <w:color w:val="auto"/>
              </w:rPr>
            </w:pPr>
            <w:r>
              <w:rPr>
                <w:color w:val="auto"/>
              </w:rPr>
              <w:t>3.4</w:t>
            </w:r>
          </w:p>
        </w:tc>
        <w:tc>
          <w:tcPr>
            <w:tcW w:w="4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23"/>
              <w:widowControl w:val="false"/>
              <w:spacing w:before="60" w:after="60"/>
              <w:jc w:val="left"/>
              <w:rPr>
                <w:szCs w:val="24"/>
              </w:rPr>
            </w:pPr>
            <w:r>
              <w:rPr>
                <w:szCs w:val="24"/>
              </w:rPr>
              <w:t>Монтажная арматура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40" w:after="40"/>
              <w:jc w:val="center"/>
              <w:rPr/>
            </w:pPr>
            <w:r>
              <w:rPr/>
              <w:t>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40" w:after="40"/>
              <w:jc w:val="center"/>
              <w:rPr>
                <w:b/>
              </w:rPr>
            </w:pPr>
            <w:r>
              <w:rPr>
                <w:b/>
              </w:rPr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40" w:after="40"/>
              <w:jc w:val="center"/>
              <w:rPr/>
            </w:pPr>
            <w:r>
              <w:rPr/>
              <w:t>0,5</w:t>
            </w:r>
          </w:p>
        </w:tc>
      </w:tr>
      <w:tr>
        <w:trPr>
          <w:trHeight w:val="454" w:hRule="atLeast"/>
          <w:cantSplit w:val="true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24"/>
              <w:widowControl w:val="false"/>
              <w:numPr>
                <w:ilvl w:val="0"/>
                <w:numId w:val="0"/>
              </w:numPr>
              <w:spacing w:before="60" w:after="60"/>
              <w:ind w:left="0" w:hanging="0"/>
              <w:jc w:val="center"/>
              <w:rPr>
                <w:color w:val="auto"/>
              </w:rPr>
            </w:pPr>
            <w:r>
              <w:rPr>
                <w:color w:val="auto"/>
              </w:rPr>
              <w:t>3.5</w:t>
            </w:r>
          </w:p>
        </w:tc>
        <w:tc>
          <w:tcPr>
            <w:tcW w:w="4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23"/>
              <w:widowControl w:val="false"/>
              <w:spacing w:before="60" w:after="60"/>
              <w:jc w:val="left"/>
              <w:rPr/>
            </w:pPr>
            <w:r>
              <w:rPr>
                <w:szCs w:val="24"/>
              </w:rPr>
              <w:t xml:space="preserve">Устройство и заполнение деформационных швов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40" w:after="40"/>
              <w:jc w:val="center"/>
              <w:rPr>
                <w:sz w:val="28"/>
                <w:szCs w:val="28"/>
              </w:rPr>
            </w:pPr>
            <w:r>
              <w:rPr/>
              <w:t>м</w:t>
              <w:br/>
              <w:t>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40" w:after="40"/>
              <w:jc w:val="center"/>
              <w:rPr/>
            </w:pPr>
            <w:r>
              <w:rPr/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40" w:after="40"/>
              <w:jc w:val="center"/>
              <w:rPr/>
            </w:pPr>
            <w:r>
              <w:rPr/>
              <w:t>375,0</w:t>
            </w:r>
          </w:p>
          <w:p>
            <w:pPr>
              <w:pStyle w:val="Normal"/>
              <w:widowControl w:val="false"/>
              <w:spacing w:before="40" w:after="40"/>
              <w:jc w:val="center"/>
              <w:rPr/>
            </w:pPr>
            <w:r>
              <w:rPr/>
              <w:t>75,0</w:t>
            </w:r>
          </w:p>
        </w:tc>
      </w:tr>
      <w:tr>
        <w:trPr>
          <w:trHeight w:val="454" w:hRule="atLeast"/>
          <w:cantSplit w:val="true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24"/>
              <w:widowControl w:val="false"/>
              <w:numPr>
                <w:ilvl w:val="0"/>
                <w:numId w:val="0"/>
              </w:numPr>
              <w:spacing w:before="60" w:after="60"/>
              <w:ind w:left="0" w:hanging="0"/>
              <w:jc w:val="center"/>
              <w:rPr>
                <w:color w:val="auto"/>
              </w:rPr>
            </w:pPr>
            <w:r>
              <w:rPr>
                <w:color w:val="auto"/>
              </w:rPr>
            </w:r>
          </w:p>
        </w:tc>
        <w:tc>
          <w:tcPr>
            <w:tcW w:w="4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23"/>
              <w:widowControl w:val="false"/>
              <w:spacing w:before="60" w:after="60"/>
              <w:jc w:val="left"/>
              <w:rPr>
                <w:szCs w:val="24"/>
              </w:rPr>
            </w:pPr>
            <w:r>
              <w:rPr>
                <w:szCs w:val="24"/>
              </w:rPr>
              <w:t>Двухкомпонентный полиуретановый герметик холодного отверждения ТЭКТОР201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40" w:after="40"/>
              <w:rPr/>
            </w:pPr>
            <w:r>
              <w:rPr/>
              <w:t xml:space="preserve">   </w:t>
            </w:r>
            <w:r>
              <w:rPr/>
              <w:t>кг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40" w:after="40"/>
              <w:jc w:val="center"/>
              <w:rPr/>
            </w:pPr>
            <w:r>
              <w:rPr/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40" w:after="40"/>
              <w:jc w:val="center"/>
              <w:rPr/>
            </w:pPr>
            <w:r>
              <w:rPr/>
              <w:t>60,0</w:t>
            </w:r>
          </w:p>
        </w:tc>
      </w:tr>
      <w:tr>
        <w:trPr>
          <w:trHeight w:val="454" w:hRule="atLeast"/>
          <w:cantSplit w:val="true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24"/>
              <w:widowControl w:val="false"/>
              <w:numPr>
                <w:ilvl w:val="0"/>
                <w:numId w:val="0"/>
              </w:numPr>
              <w:spacing w:before="60" w:after="60"/>
              <w:ind w:left="0" w:hanging="0"/>
              <w:jc w:val="center"/>
              <w:rPr>
                <w:color w:val="auto"/>
              </w:rPr>
            </w:pPr>
            <w:r>
              <w:rPr>
                <w:color w:val="auto"/>
              </w:rPr>
            </w:r>
          </w:p>
        </w:tc>
        <w:tc>
          <w:tcPr>
            <w:tcW w:w="4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23"/>
              <w:widowControl w:val="false"/>
              <w:spacing w:before="60" w:after="60"/>
              <w:jc w:val="left"/>
              <w:rPr>
                <w:szCs w:val="24"/>
              </w:rPr>
            </w:pPr>
            <w:r>
              <w:rPr>
                <w:szCs w:val="24"/>
              </w:rPr>
              <w:t xml:space="preserve">Жгут из пеноплиэтиленовый Вилатерм (ТУ 2291-009-03989419-06), </w:t>
            </w:r>
            <w:r>
              <w:rPr>
                <w:szCs w:val="24"/>
                <w:lang w:val="en-US"/>
              </w:rPr>
              <w:t>t</w:t>
            </w:r>
            <w:r>
              <w:rPr>
                <w:szCs w:val="24"/>
              </w:rPr>
              <w:t>=25мм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40" w:after="40"/>
              <w:jc w:val="center"/>
              <w:rPr/>
            </w:pPr>
            <w:r>
              <w:rPr/>
              <w:t>п.м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40" w:after="40"/>
              <w:jc w:val="center"/>
              <w:rPr/>
            </w:pPr>
            <w:r>
              <w:rPr/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40" w:after="40"/>
              <w:jc w:val="center"/>
              <w:rPr/>
            </w:pPr>
            <w:r>
              <w:rPr/>
              <w:t>375,0</w:t>
            </w:r>
          </w:p>
        </w:tc>
      </w:tr>
      <w:tr>
        <w:trPr>
          <w:trHeight w:val="454" w:hRule="atLeast"/>
          <w:cantSplit w:val="true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24"/>
              <w:widowControl w:val="false"/>
              <w:numPr>
                <w:ilvl w:val="0"/>
                <w:numId w:val="0"/>
              </w:numPr>
              <w:spacing w:before="60" w:after="60"/>
              <w:ind w:left="0" w:hanging="0"/>
              <w:jc w:val="center"/>
              <w:rPr>
                <w:color w:val="auto"/>
              </w:rPr>
            </w:pPr>
            <w:r>
              <w:rPr>
                <w:color w:val="auto"/>
              </w:rPr>
            </w:r>
          </w:p>
        </w:tc>
        <w:tc>
          <w:tcPr>
            <w:tcW w:w="4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23"/>
              <w:widowControl w:val="false"/>
              <w:spacing w:before="60" w:after="60"/>
              <w:jc w:val="left"/>
              <w:rPr>
                <w:szCs w:val="24"/>
              </w:rPr>
            </w:pPr>
            <w:r>
              <w:rPr>
                <w:szCs w:val="24"/>
              </w:rPr>
              <w:t>Гидроизоляционная шпонка ДВ-240/20 (ПВХ-П)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40" w:after="40"/>
              <w:jc w:val="center"/>
              <w:rPr/>
            </w:pPr>
            <w:r>
              <w:rPr/>
              <w:t>п.м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40" w:after="40"/>
              <w:jc w:val="center"/>
              <w:rPr/>
            </w:pPr>
            <w:r>
              <w:rPr/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40" w:after="40"/>
              <w:jc w:val="center"/>
              <w:rPr/>
            </w:pPr>
            <w:r>
              <w:rPr/>
              <w:t>375,0</w:t>
            </w:r>
          </w:p>
        </w:tc>
      </w:tr>
      <w:tr>
        <w:trPr>
          <w:trHeight w:val="454" w:hRule="atLeast"/>
          <w:cantSplit w:val="true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24"/>
              <w:widowControl w:val="false"/>
              <w:numPr>
                <w:ilvl w:val="0"/>
                <w:numId w:val="0"/>
              </w:numPr>
              <w:spacing w:before="60" w:after="60"/>
              <w:ind w:left="0" w:hanging="0"/>
              <w:jc w:val="center"/>
              <w:rPr>
                <w:color w:val="auto"/>
              </w:rPr>
            </w:pPr>
            <w:r>
              <w:rPr>
                <w:color w:val="auto"/>
              </w:rPr>
            </w:r>
          </w:p>
        </w:tc>
        <w:tc>
          <w:tcPr>
            <w:tcW w:w="4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23"/>
              <w:widowControl w:val="false"/>
              <w:spacing w:before="60" w:after="60"/>
              <w:jc w:val="left"/>
              <w:rPr>
                <w:szCs w:val="24"/>
              </w:rPr>
            </w:pPr>
            <w:r>
              <w:rPr/>
              <w:t>Доска -1-сосна-20х200 антисептированная по ГОСТ 10950-2013, пропитанная битумом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40" w:after="40"/>
              <w:jc w:val="center"/>
              <w:rPr/>
            </w:pPr>
            <w:r>
              <w:rPr/>
              <w:t>п.м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40" w:after="40"/>
              <w:jc w:val="center"/>
              <w:rPr/>
            </w:pPr>
            <w:r>
              <w:rPr/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40" w:after="40"/>
              <w:jc w:val="center"/>
              <w:rPr/>
            </w:pPr>
            <w:r>
              <w:rPr/>
              <w:t>375,0</w:t>
            </w:r>
          </w:p>
        </w:tc>
      </w:tr>
      <w:tr>
        <w:trPr>
          <w:trHeight w:val="454" w:hRule="atLeast"/>
          <w:cantSplit w:val="true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24"/>
              <w:widowControl w:val="false"/>
              <w:numPr>
                <w:ilvl w:val="0"/>
                <w:numId w:val="0"/>
              </w:numPr>
              <w:spacing w:before="60" w:after="60"/>
              <w:ind w:left="0" w:hanging="0"/>
              <w:jc w:val="center"/>
              <w:rPr>
                <w:color w:val="auto"/>
              </w:rPr>
            </w:pPr>
            <w:r>
              <w:rPr>
                <w:color w:val="auto"/>
              </w:rPr>
              <w:t>3.6</w:t>
            </w:r>
          </w:p>
        </w:tc>
        <w:tc>
          <w:tcPr>
            <w:tcW w:w="4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23"/>
              <w:widowControl w:val="false"/>
              <w:spacing w:before="60" w:after="60"/>
              <w:jc w:val="left"/>
              <w:rPr/>
            </w:pPr>
            <w:r>
              <w:rPr>
                <w:szCs w:val="24"/>
              </w:rPr>
              <w:t>Установка и демонтаж мелкощитовой опалубки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40" w:after="40"/>
              <w:jc w:val="center"/>
              <w:rPr>
                <w:sz w:val="28"/>
                <w:szCs w:val="28"/>
              </w:rPr>
            </w:pPr>
            <w:r>
              <w:rPr/>
              <w:t>м</w:t>
            </w:r>
            <w:r>
              <w:rPr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40" w:after="40"/>
              <w:jc w:val="center"/>
              <w:rPr/>
            </w:pPr>
            <w:r>
              <w:rPr/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40" w:after="40"/>
              <w:jc w:val="center"/>
              <w:rPr/>
            </w:pPr>
            <w:r>
              <w:rPr/>
              <w:t>75,0</w:t>
            </w:r>
          </w:p>
        </w:tc>
      </w:tr>
      <w:tr>
        <w:trPr>
          <w:trHeight w:val="454" w:hRule="atLeast"/>
          <w:cantSplit w:val="true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24"/>
              <w:widowControl w:val="false"/>
              <w:numPr>
                <w:ilvl w:val="0"/>
                <w:numId w:val="0"/>
              </w:numPr>
              <w:spacing w:before="60" w:after="60"/>
              <w:ind w:left="0" w:hanging="0"/>
              <w:jc w:val="center"/>
              <w:rPr>
                <w:b/>
                <w:bCs/>
              </w:rPr>
            </w:pPr>
            <w:r>
              <w:rPr>
                <w:b/>
                <w:bCs/>
                <w:color w:val="auto"/>
              </w:rPr>
              <w:t>4</w:t>
            </w:r>
          </w:p>
        </w:tc>
        <w:tc>
          <w:tcPr>
            <w:tcW w:w="4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23"/>
              <w:widowControl w:val="false"/>
              <w:spacing w:before="60" w:after="6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Дорога по берме на отм. 460,000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40" w:after="4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40" w:after="40"/>
              <w:jc w:val="center"/>
              <w:rPr/>
            </w:pPr>
            <w:r>
              <w:rPr/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40" w:after="40"/>
              <w:jc w:val="center"/>
              <w:rPr/>
            </w:pPr>
            <w:r>
              <w:rPr/>
            </w:r>
          </w:p>
        </w:tc>
      </w:tr>
      <w:tr>
        <w:trPr>
          <w:trHeight w:val="454" w:hRule="atLeast"/>
          <w:cantSplit w:val="true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24"/>
              <w:widowControl w:val="false"/>
              <w:numPr>
                <w:ilvl w:val="0"/>
                <w:numId w:val="0"/>
              </w:numPr>
              <w:spacing w:before="60" w:after="60"/>
              <w:ind w:left="0" w:hanging="0"/>
              <w:jc w:val="center"/>
              <w:rPr>
                <w:color w:val="auto"/>
              </w:rPr>
            </w:pPr>
            <w:r>
              <w:rPr>
                <w:color w:val="auto"/>
              </w:rPr>
              <w:t>4.1</w:t>
            </w:r>
          </w:p>
        </w:tc>
        <w:tc>
          <w:tcPr>
            <w:tcW w:w="4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23"/>
              <w:widowControl w:val="false"/>
              <w:spacing w:before="60" w:after="60"/>
              <w:jc w:val="left"/>
              <w:rPr/>
            </w:pPr>
            <w:r>
              <w:rPr/>
              <w:t>Демонтаж плит дорожных 2П30.18                   ГОСТ 21924.0-84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40" w:after="40"/>
              <w:jc w:val="center"/>
              <w:rPr/>
            </w:pPr>
            <w:r>
              <w:rPr/>
              <w:t>шт.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40" w:after="40"/>
              <w:jc w:val="center"/>
              <w:rPr/>
            </w:pPr>
            <w:r>
              <w:rPr/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40" w:after="40"/>
              <w:jc w:val="center"/>
              <w:rPr/>
            </w:pPr>
            <w:r>
              <w:rPr/>
              <w:t>133</w:t>
            </w:r>
          </w:p>
        </w:tc>
      </w:tr>
      <w:tr>
        <w:trPr>
          <w:trHeight w:val="454" w:hRule="atLeast"/>
          <w:cantSplit w:val="true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24"/>
              <w:widowControl w:val="false"/>
              <w:numPr>
                <w:ilvl w:val="0"/>
                <w:numId w:val="0"/>
              </w:numPr>
              <w:spacing w:before="60" w:after="60"/>
              <w:ind w:left="0" w:hanging="0"/>
              <w:jc w:val="center"/>
              <w:rPr>
                <w:color w:val="auto"/>
              </w:rPr>
            </w:pPr>
            <w:r>
              <w:rPr>
                <w:color w:val="auto"/>
              </w:rPr>
              <w:t>4.2</w:t>
            </w:r>
          </w:p>
        </w:tc>
        <w:tc>
          <w:tcPr>
            <w:tcW w:w="4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spacing w:before="60" w:after="60"/>
              <w:jc w:val="left"/>
              <w:rPr/>
            </w:pPr>
            <w:r>
              <w:rPr/>
              <w:t xml:space="preserve">Устройство покрытий толщиной </w:t>
            </w:r>
            <w:r>
              <w:rPr>
                <w:lang w:val="en-US"/>
              </w:rPr>
              <w:t>t</w:t>
            </w:r>
            <w:r>
              <w:rPr/>
              <w:t>=200мм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40" w:after="4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40" w:after="40"/>
              <w:jc w:val="center"/>
              <w:rPr/>
            </w:pPr>
            <w:r>
              <w:rPr/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40" w:after="40"/>
              <w:jc w:val="center"/>
              <w:rPr/>
            </w:pPr>
            <w:r>
              <w:rPr/>
            </w:r>
          </w:p>
        </w:tc>
      </w:tr>
      <w:tr>
        <w:trPr>
          <w:trHeight w:val="454" w:hRule="atLeast"/>
          <w:cantSplit w:val="true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24"/>
              <w:widowControl w:val="false"/>
              <w:numPr>
                <w:ilvl w:val="0"/>
                <w:numId w:val="0"/>
              </w:numPr>
              <w:spacing w:before="60" w:after="60"/>
              <w:ind w:left="0" w:hanging="0"/>
              <w:jc w:val="center"/>
              <w:rPr>
                <w:color w:val="auto"/>
              </w:rPr>
            </w:pPr>
            <w:r>
              <w:rPr>
                <w:color w:val="auto"/>
              </w:rPr>
            </w:r>
          </w:p>
        </w:tc>
        <w:tc>
          <w:tcPr>
            <w:tcW w:w="4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spacing w:before="60" w:after="60"/>
              <w:jc w:val="left"/>
              <w:rPr/>
            </w:pPr>
            <w:r>
              <w:rPr/>
              <w:t xml:space="preserve">Укладка ПГС, </w:t>
            </w:r>
            <w:r>
              <w:rPr>
                <w:lang w:val="en-US"/>
              </w:rPr>
              <w:t>t</w:t>
            </w:r>
            <w:r>
              <w:rPr/>
              <w:t>=200мм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40" w:after="40"/>
              <w:jc w:val="center"/>
              <w:rPr>
                <w:sz w:val="28"/>
                <w:szCs w:val="28"/>
              </w:rPr>
            </w:pPr>
            <w:r>
              <w:rPr/>
              <w:t>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40" w:after="40"/>
              <w:jc w:val="center"/>
              <w:rPr/>
            </w:pPr>
            <w:r>
              <w:rPr/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40" w:after="40"/>
              <w:jc w:val="center"/>
              <w:rPr/>
            </w:pPr>
            <w:r>
              <w:rPr/>
              <w:t>32,5,0</w:t>
            </w:r>
          </w:p>
        </w:tc>
      </w:tr>
      <w:tr>
        <w:trPr>
          <w:trHeight w:val="454" w:hRule="atLeast"/>
          <w:cantSplit w:val="true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24"/>
              <w:widowControl w:val="false"/>
              <w:numPr>
                <w:ilvl w:val="0"/>
                <w:numId w:val="0"/>
              </w:numPr>
              <w:spacing w:before="60" w:after="60"/>
              <w:ind w:left="0" w:hanging="0"/>
              <w:jc w:val="center"/>
              <w:rPr>
                <w:b/>
                <w:bCs/>
              </w:rPr>
            </w:pPr>
            <w:r>
              <w:rPr>
                <w:b/>
                <w:bCs/>
                <w:color w:val="auto"/>
              </w:rPr>
              <w:t>5</w:t>
            </w:r>
          </w:p>
        </w:tc>
        <w:tc>
          <w:tcPr>
            <w:tcW w:w="4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23"/>
              <w:widowControl w:val="false"/>
              <w:spacing w:before="60" w:after="6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Крепление низового откоса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40" w:after="4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40" w:after="40"/>
              <w:jc w:val="center"/>
              <w:rPr/>
            </w:pPr>
            <w:r>
              <w:rPr/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40" w:after="40"/>
              <w:jc w:val="center"/>
              <w:rPr/>
            </w:pPr>
            <w:r>
              <w:rPr/>
            </w:r>
          </w:p>
        </w:tc>
      </w:tr>
      <w:tr>
        <w:trPr>
          <w:trHeight w:val="454" w:hRule="atLeast"/>
          <w:cantSplit w:val="true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24"/>
              <w:widowControl w:val="false"/>
              <w:numPr>
                <w:ilvl w:val="0"/>
                <w:numId w:val="0"/>
              </w:numPr>
              <w:spacing w:before="60" w:after="60"/>
              <w:ind w:left="0" w:hanging="0"/>
              <w:jc w:val="center"/>
              <w:rPr>
                <w:color w:val="auto"/>
              </w:rPr>
            </w:pPr>
            <w:r>
              <w:rPr>
                <w:color w:val="auto"/>
              </w:rPr>
              <w:t>5.1</w:t>
            </w:r>
          </w:p>
        </w:tc>
        <w:tc>
          <w:tcPr>
            <w:tcW w:w="4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23"/>
              <w:widowControl w:val="false"/>
              <w:spacing w:before="60" w:after="60"/>
              <w:jc w:val="left"/>
              <w:rPr/>
            </w:pPr>
            <w:r>
              <w:rPr/>
              <w:t xml:space="preserve">Посев трав по слою растительного грунта, </w:t>
            </w:r>
            <w:r>
              <w:rPr>
                <w:lang w:val="en-US"/>
              </w:rPr>
              <w:t>t</w:t>
            </w:r>
            <w:r>
              <w:rPr/>
              <w:t>=150мм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40" w:after="40"/>
              <w:jc w:val="center"/>
              <w:rPr>
                <w:sz w:val="28"/>
                <w:szCs w:val="28"/>
              </w:rPr>
            </w:pPr>
            <w:r>
              <w:rPr/>
              <w:t>м</w:t>
            </w:r>
            <w:r>
              <w:rPr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40" w:after="40"/>
              <w:jc w:val="center"/>
              <w:rPr/>
            </w:pPr>
            <w:r>
              <w:rPr/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40" w:after="40"/>
              <w:jc w:val="center"/>
              <w:rPr/>
            </w:pPr>
            <w:r>
              <w:rPr/>
              <w:t>1316,3</w:t>
            </w:r>
          </w:p>
        </w:tc>
      </w:tr>
    </w:tbl>
    <w:p>
      <w:pPr>
        <w:pStyle w:val="Normal"/>
        <w:spacing w:before="0" w:after="120"/>
        <w:ind w:firstLine="851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</w:r>
    </w:p>
    <w:p>
      <w:pPr>
        <w:pStyle w:val="Normal"/>
        <w:spacing w:before="0" w:after="120"/>
        <w:ind w:firstLine="851"/>
        <w:jc w:val="both"/>
        <w:rPr>
          <w:bCs/>
          <w:sz w:val="22"/>
          <w:szCs w:val="22"/>
        </w:rPr>
      </w:pPr>
      <w:r>
        <w:rPr/>
      </w:r>
    </w:p>
    <w:sectPr>
      <w:footerReference w:type="default" r:id="rId2"/>
      <w:type w:val="nextPage"/>
      <w:pgSz w:w="11906" w:h="16838"/>
      <w:pgMar w:left="1701" w:right="851" w:gutter="0" w:header="0" w:top="1134" w:footer="516" w:bottom="1134"/>
      <w:pgNumType w:start="1"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imes New Roman">
    <w:charset w:val="01"/>
    <w:family w:val="roman"/>
    <w:pitch w:val="variable"/>
  </w:font>
  <w:font w:name="Cambria">
    <w:charset w:val="01"/>
    <w:family w:val="roman"/>
    <w:pitch w:val="variable"/>
  </w:font>
  <w:font w:name="Tahoma">
    <w:charset w:val="01"/>
    <w:family w:val="roman"/>
    <w:pitch w:val="variable"/>
  </w:font>
  <w:font w:name="Times New Roman Полужирный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Symbol">
    <w:charset w:val="02"/>
    <w:family w:val="auto"/>
    <w:pitch w:val="default"/>
  </w:font>
  <w:font w:name="Courier New">
    <w:charset w:val="01"/>
    <w:family w:val="modern"/>
    <w:pitch w:val="fixed"/>
  </w:font>
  <w:font w:name="Wingdings">
    <w:charset w:val="02"/>
    <w:family w:val="auto"/>
    <w:pitch w:val="default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jc w:val="right"/>
      <w:rPr>
        <w:sz w:val="20"/>
        <w:szCs w:val="20"/>
      </w:rPr>
    </w:pPr>
    <w:r>
      <w:rPr>
        <w:sz w:val="20"/>
        <w:szCs w:val="20"/>
      </w:rPr>
      <w:fldChar w:fldCharType="begin"/>
    </w:r>
    <w:r>
      <w:rPr>
        <w:sz w:val="20"/>
        <w:szCs w:val="20"/>
      </w:rPr>
      <w:instrText xml:space="preserve"> PAGE </w:instrText>
    </w:r>
    <w:r>
      <w:rPr>
        <w:sz w:val="20"/>
        <w:szCs w:val="20"/>
      </w:rPr>
      <w:fldChar w:fldCharType="separate"/>
    </w:r>
    <w:r>
      <w:rPr>
        <w:sz w:val="20"/>
        <w:szCs w:val="20"/>
      </w:rPr>
      <w:t>2</w:t>
    </w:r>
    <w:r>
      <w:rPr>
        <w:sz w:val="20"/>
        <w:szCs w:val="20"/>
      </w:rPr>
      <w:fldChar w:fldCharType="end"/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"/>
      <w:lvlJc w:val="left"/>
      <w:pPr>
        <w:tabs>
          <w:tab w:val="num" w:pos="0"/>
        </w:tabs>
        <w:ind w:left="1406" w:hanging="555"/>
      </w:pPr>
      <w:rPr/>
    </w:lvl>
    <w:lvl w:ilvl="1">
      <w:start w:val="1"/>
      <w:numFmt w:val="russianLower"/>
      <w:lvlText w:val="%2)"/>
      <w:lvlJc w:val="left"/>
      <w:pPr>
        <w:tabs>
          <w:tab w:val="num" w:pos="0"/>
        </w:tabs>
        <w:ind w:left="1931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651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371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4091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811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531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251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971" w:hanging="180"/>
      </w:pPr>
      <w:rPr/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643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363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083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03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523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243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4963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683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03" w:hanging="180"/>
      </w:pPr>
      <w:rPr/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0"/>
        </w:tabs>
        <w:ind w:left="1211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931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651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371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4091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811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531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251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971" w:hanging="180"/>
      </w:pPr>
      <w:rPr/>
    </w:lvl>
  </w:abstractNum>
  <w:abstractNum w:abstractNumId="4">
    <w:lvl w:ilvl="0">
      <w:start w:val="1"/>
      <w:numFmt w:val="decimal"/>
      <w:lvlText w:val="%1"/>
      <w:lvlJc w:val="left"/>
      <w:pPr>
        <w:tabs>
          <w:tab w:val="num" w:pos="1077"/>
        </w:tabs>
        <w:ind w:left="0" w:firstLine="851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931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651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371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4091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811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531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251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971" w:hanging="180"/>
      </w:pPr>
      <w:rPr/>
    </w:lvl>
  </w:abstractNum>
  <w:abstractNum w:abstractNumId="5">
    <w:lvl w:ilvl="0">
      <w:start w:val="1"/>
      <w:numFmt w:val="decimal"/>
      <w:lvlText w:val="%1"/>
      <w:lvlJc w:val="left"/>
      <w:pPr>
        <w:tabs>
          <w:tab w:val="num" w:pos="454"/>
        </w:tabs>
        <w:ind w:left="0" w:hanging="0"/>
      </w:pPr>
      <w:rPr>
        <w:sz w:val="32"/>
        <w:szCs w:val="32"/>
      </w:rPr>
    </w:lvl>
    <w:lvl w:ilvl="1">
      <w:start w:val="1"/>
      <w:numFmt w:val="decimal"/>
      <w:lvlText w:val="%1.%2"/>
      <w:lvlJc w:val="left"/>
      <w:pPr>
        <w:tabs>
          <w:tab w:val="num" w:pos="1418"/>
        </w:tabs>
        <w:ind w:left="0" w:firstLine="851"/>
      </w:pPr>
      <w:rPr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1588"/>
        </w:tabs>
        <w:ind w:left="0" w:firstLine="851"/>
      </w:pPr>
      <w:rPr>
        <w:sz w:val="28"/>
        <w:szCs w:val="28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  <w:rPr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  <w:rPr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  <w:rPr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  <w:rPr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  <w:rPr>
        <w:sz w:val="20"/>
      </w:rPr>
    </w:lvl>
  </w:abstractNum>
  <w:abstractNum w:abstractNumId="6">
    <w:lvl w:ilvl="0">
      <w:start w:val="1"/>
      <w:numFmt w:val="bullet"/>
      <w:lvlText w:val=""/>
      <w:lvlJc w:val="left"/>
      <w:pPr>
        <w:tabs>
          <w:tab w:val="num" w:pos="1191"/>
        </w:tabs>
        <w:ind w:left="0" w:firstLine="851"/>
      </w:pPr>
      <w:rPr>
        <w:rFonts w:ascii="Symbol" w:hAnsi="Symbol" w:cs="Symbol" w:hint="default"/>
        <w:sz w:val="24"/>
        <w:color w:val="000000" w:themeColor="text1"/>
      </w:rPr>
    </w:lvl>
    <w:lvl w:ilvl="1">
      <w:start w:val="1"/>
      <w:numFmt w:val="russianLower"/>
      <w:lvlText w:val="%2)"/>
      <w:lvlJc w:val="left"/>
      <w:pPr>
        <w:tabs>
          <w:tab w:val="num" w:pos="1814"/>
        </w:tabs>
        <w:ind w:left="851" w:firstLine="850"/>
      </w:pPr>
      <w:rPr/>
    </w:lvl>
    <w:lvl w:ilvl="2">
      <w:start w:val="1"/>
      <w:numFmt w:val="decimal"/>
      <w:lvlText w:val="%3)"/>
      <w:lvlJc w:val="left"/>
      <w:pPr>
        <w:tabs>
          <w:tab w:val="num" w:pos="2665"/>
        </w:tabs>
        <w:ind w:left="1701" w:firstLine="851"/>
      </w:pPr>
      <w:rPr>
        <w:sz w:val="24"/>
        <w:i w:val="false"/>
        <w:b w:val="false"/>
      </w:r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  <w:rPr/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  <w:rPr/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/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/>
    </w:lvl>
  </w:abstractNum>
  <w:abstractNum w:abstractNumId="7">
    <w:lvl w:ilvl="0">
      <w:start w:val="1"/>
      <w:numFmt w:val="decimal"/>
      <w:lvlText w:val="%1"/>
      <w:lvlJc w:val="left"/>
      <w:pPr>
        <w:tabs>
          <w:tab w:val="num" w:pos="1191"/>
        </w:tabs>
        <w:ind w:left="0" w:firstLine="851"/>
      </w:pPr>
      <w:rPr>
        <w:sz w:val="24"/>
        <w:rFonts w:ascii="Times New Roman" w:hAnsi="Times New Roman"/>
        <w:color w:val="000000" w:themeColor="text1"/>
      </w:rPr>
    </w:lvl>
    <w:lvl w:ilvl="1">
      <w:start w:val="1"/>
      <w:numFmt w:val="decimal"/>
      <w:lvlText w:val="%1.%2"/>
      <w:lvlJc w:val="left"/>
      <w:pPr>
        <w:tabs>
          <w:tab w:val="num" w:pos="1247"/>
        </w:tabs>
        <w:ind w:left="0" w:firstLine="851"/>
      </w:pPr>
      <w:rPr/>
    </w:lvl>
    <w:lvl w:ilvl="2">
      <w:start w:val="1"/>
      <w:numFmt w:val="decimal"/>
      <w:lvlText w:val="%1.%2.%3"/>
      <w:lvlJc w:val="left"/>
      <w:pPr>
        <w:tabs>
          <w:tab w:val="num" w:pos="1304"/>
        </w:tabs>
        <w:ind w:left="0" w:firstLine="851"/>
      </w:pPr>
      <w:rPr/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  <w:rPr/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  <w:rPr/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/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/>
    </w:lvl>
  </w:abstractNum>
  <w:abstractNum w:abstractNumId="8">
    <w:lvl w:ilvl="0">
      <w:start w:val="1"/>
      <w:numFmt w:val="decimal"/>
      <w:suff w:val="nothing"/>
      <w:lvlText w:val="%1"/>
      <w:lvlJc w:val="left"/>
      <w:pPr>
        <w:tabs>
          <w:tab w:val="num" w:pos="0"/>
        </w:tabs>
        <w:ind w:left="426" w:hanging="0"/>
      </w:pPr>
      <w:rPr>
        <w:sz w:val="24"/>
        <w:rFonts w:ascii="Times New Roman" w:hAnsi="Times New Roman"/>
        <w:color w:val="000000" w:themeColor="text1"/>
      </w:rPr>
    </w:lvl>
    <w:lvl w:ilvl="1">
      <w:start w:val="1"/>
      <w:numFmt w:val="decimal"/>
      <w:suff w:val="nothing"/>
      <w:lvlText w:val="%1.%2"/>
      <w:lvlJc w:val="left"/>
      <w:pPr>
        <w:tabs>
          <w:tab w:val="num" w:pos="0"/>
        </w:tabs>
        <w:ind w:left="0" w:hanging="0"/>
      </w:pPr>
      <w:rPr/>
    </w:lvl>
    <w:lvl w:ilvl="2">
      <w:start w:val="1"/>
      <w:numFmt w:val="decimal"/>
      <w:lvlText w:val="%1.%2.%3"/>
      <w:lvlJc w:val="left"/>
      <w:pPr>
        <w:tabs>
          <w:tab w:val="num" w:pos="567"/>
        </w:tabs>
        <w:ind w:left="567" w:hanging="567"/>
      </w:pPr>
      <w:rPr/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  <w:rPr/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  <w:rPr/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/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/>
    </w:lvl>
  </w:abstractNum>
  <w:abstractNum w:abstractNumId="9">
    <w:lvl w:ilvl="0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cs="Symbol" w:hint="default"/>
        <w:sz w:val="24"/>
        <w:color w:val="000000" w:themeColor="text1"/>
      </w:rPr>
    </w:lvl>
    <w:lvl w:ilvl="1">
      <w:start w:val="1"/>
      <w:numFmt w:val="russianLower"/>
      <w:lvlText w:val="%2)"/>
      <w:lvlJc w:val="left"/>
      <w:pPr>
        <w:tabs>
          <w:tab w:val="num" w:pos="1985"/>
        </w:tabs>
        <w:ind w:left="851" w:firstLine="851"/>
      </w:pPr>
      <w:rPr/>
    </w:lvl>
    <w:lvl w:ilvl="2">
      <w:start w:val="1"/>
      <w:numFmt w:val="decimal"/>
      <w:lvlText w:val="%3)"/>
      <w:lvlJc w:val="left"/>
      <w:pPr>
        <w:tabs>
          <w:tab w:val="num" w:pos="2835"/>
        </w:tabs>
        <w:ind w:left="1702" w:firstLine="851"/>
      </w:pPr>
      <w:rPr/>
    </w:lvl>
    <w:lvl w:ilvl="3">
      <w:start w:val="1"/>
      <w:numFmt w:val="bullet"/>
      <w:lvlText w:val=""/>
      <w:lvlJc w:val="left"/>
      <w:pPr>
        <w:tabs>
          <w:tab w:val="num" w:pos="0"/>
        </w:tabs>
        <w:ind w:left="2553" w:firstLine="851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404" w:firstLine="851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255" w:firstLine="851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106" w:firstLine="851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957" w:firstLine="851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08" w:firstLine="851"/>
      </w:pPr>
      <w:rPr>
        <w:rFonts w:ascii="Wingdings" w:hAnsi="Wingdings" w:cs="Wingdings" w:hint="default"/>
      </w:rPr>
    </w:lvl>
  </w:abstractNum>
  <w:abstractNum w:abstractNumId="10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uiPriority="0" w:semiHidden="1" w:unhideWhenUsed="1" w:qFormat="1"/>
    <w:lsdException w:name="heading 3" w:uiPriority="0" w:semiHidden="1" w:unhideWhenUsed="1" w:qFormat="1"/>
    <w:lsdException w:name="heading 4" w:uiPriority="0" w:semiHidden="1" w:unhideWhenUsed="1" w:qFormat="1"/>
    <w:lsdException w:name="heading 5" w:uiPriority="9" w:semiHidden="1" w:unhideWhenUsed="1"/>
    <w:lsdException w:name="heading 6" w:uiPriority="9" w:semiHidden="1" w:unhideWhenUsed="1"/>
    <w:lsdException w:name="heading 7" w:uiPriority="9" w:semiHidden="1" w:unhideWhenUsed="1"/>
    <w:lsdException w:name="heading 8" w:uiPriority="9" w:semiHidden="1" w:unhideWhenUsed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uiPriority="0" w:semiHidden="1" w:unhideWhenUsed="1"/>
    <w:lsdException w:name="index heading" w:semiHidden="1" w:unhideWhenUsed="1"/>
    <w:lsdException w:name="caption" w:uiPriority="35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uiPriority="0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uiPriority="0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uiPriority="37" w:semiHidden="1" w:unhideWhenUsed="1"/>
    <w:lsdException w:name="TOC Heading" w:uiPriority="39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2e1e10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Heading1">
    <w:name w:val="Heading 1"/>
    <w:next w:val="Style26"/>
    <w:link w:val="13"/>
    <w:uiPriority w:val="9"/>
    <w:qFormat/>
    <w:rsid w:val="008d4e77"/>
    <w:pPr>
      <w:pageBreakBefore/>
      <w:widowControl/>
      <w:tabs>
        <w:tab w:val="clear" w:pos="708"/>
        <w:tab w:val="left" w:pos="426" w:leader="none"/>
        <w:tab w:val="left" w:pos="454" w:leader="none"/>
      </w:tabs>
      <w:suppressAutoHyphens w:val="true"/>
      <w:bidi w:val="0"/>
      <w:spacing w:lineRule="auto" w:line="240" w:before="240" w:after="120"/>
      <w:jc w:val="center"/>
      <w:outlineLvl w:val="0"/>
    </w:pPr>
    <w:rPr>
      <w:rFonts w:ascii="Times New Roman" w:hAnsi="Times New Roman" w:eastAsia="Calibri" w:cs="" w:cstheme="majorBidi"/>
      <w:b/>
      <w:caps/>
      <w:color w:val="000000" w:themeColor="text1"/>
      <w:kern w:val="0"/>
      <w:sz w:val="32"/>
      <w:szCs w:val="32"/>
      <w:lang w:val="ru-RU" w:eastAsia="en-US" w:bidi="ar-SA"/>
    </w:rPr>
  </w:style>
  <w:style w:type="paragraph" w:styleId="Heading2">
    <w:name w:val="Heading 2"/>
    <w:basedOn w:val="Style26"/>
    <w:next w:val="Style26"/>
    <w:link w:val="23"/>
    <w:semiHidden/>
    <w:unhideWhenUsed/>
    <w:qFormat/>
    <w:rsid w:val="008d4e77"/>
    <w:pPr>
      <w:keepLines/>
      <w:numPr>
        <w:ilvl w:val="1"/>
        <w:numId w:val="5"/>
      </w:numPr>
      <w:spacing w:before="240" w:after="120"/>
      <w:outlineLvl w:val="1"/>
    </w:pPr>
    <w:rPr>
      <w:rFonts w:eastAsia="" w:cs="" w:cstheme="majorBidi" w:eastAsiaTheme="majorEastAsia"/>
      <w:b/>
      <w:bCs/>
      <w:caps/>
      <w:sz w:val="28"/>
      <w:szCs w:val="28"/>
    </w:rPr>
  </w:style>
  <w:style w:type="paragraph" w:styleId="Heading3">
    <w:name w:val="Heading 3"/>
    <w:basedOn w:val="Normal"/>
    <w:next w:val="BodyTextIndent1"/>
    <w:link w:val="31"/>
    <w:semiHidden/>
    <w:unhideWhenUsed/>
    <w:qFormat/>
    <w:rsid w:val="008d4e77"/>
    <w:pPr>
      <w:keepNext w:val="true"/>
      <w:keepLines/>
      <w:numPr>
        <w:ilvl w:val="2"/>
        <w:numId w:val="5"/>
      </w:numPr>
      <w:spacing w:before="240" w:after="120"/>
      <w:outlineLvl w:val="2"/>
    </w:pPr>
    <w:rPr>
      <w:rFonts w:eastAsia="" w:cs="" w:cstheme="majorBidi" w:eastAsiaTheme="majorEastAsia"/>
      <w:b/>
      <w:bCs/>
      <w:sz w:val="28"/>
      <w:szCs w:val="22"/>
      <w:lang w:eastAsia="en-US"/>
    </w:rPr>
  </w:style>
  <w:style w:type="paragraph" w:styleId="Heading4">
    <w:name w:val="Heading 4"/>
    <w:basedOn w:val="Normal"/>
    <w:next w:val="BodyTextIndent1"/>
    <w:link w:val="4"/>
    <w:semiHidden/>
    <w:unhideWhenUsed/>
    <w:qFormat/>
    <w:rsid w:val="008d4e77"/>
    <w:pPr>
      <w:keepNext w:val="true"/>
      <w:keepLines/>
      <w:numPr>
        <w:ilvl w:val="3"/>
        <w:numId w:val="5"/>
      </w:numPr>
      <w:spacing w:before="240" w:after="120"/>
      <w:outlineLvl w:val="3"/>
    </w:pPr>
    <w:rPr>
      <w:rFonts w:eastAsia="" w:eastAsiaTheme="majorEastAsia"/>
      <w:b/>
      <w:bCs/>
      <w:iCs/>
      <w:sz w:val="28"/>
      <w:lang w:eastAsia="en-US"/>
    </w:rPr>
  </w:style>
  <w:style w:type="paragraph" w:styleId="Heading9">
    <w:name w:val="Heading 9"/>
    <w:basedOn w:val="Normal"/>
    <w:next w:val="Normal"/>
    <w:link w:val="9"/>
    <w:uiPriority w:val="9"/>
    <w:semiHidden/>
    <w:unhideWhenUsed/>
    <w:qFormat/>
    <w:rsid w:val="008d4e77"/>
    <w:pPr>
      <w:keepNext w:val="true"/>
      <w:keepLines/>
      <w:numPr>
        <w:ilvl w:val="8"/>
        <w:numId w:val="4"/>
      </w:numPr>
      <w:spacing w:before="200" w:after="0"/>
      <w:ind w:left="1584" w:hanging="1584"/>
      <w:outlineLvl w:val="8"/>
    </w:pPr>
    <w:rPr>
      <w:rFonts w:ascii="Cambria" w:hAnsi="Cambria" w:eastAsia="" w:cs="" w:asciiTheme="majorHAnsi" w:cstheme="majorBidi" w:eastAsiaTheme="majorEastAsia" w:hAnsiTheme="majorHAnsi"/>
      <w:i/>
      <w:iCs/>
      <w:color w:val="404040" w:themeColor="text1" w:themeTint="bf"/>
      <w:sz w:val="20"/>
      <w:szCs w:val="20"/>
      <w:lang w:eastAsia="en-US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4" w:customStyle="1">
    <w:name w:val="Основной текст с отступом Знак"/>
    <w:basedOn w:val="DefaultParagraphFont"/>
    <w:qFormat/>
    <w:rsid w:val="002e1e10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Style5" w:customStyle="1">
    <w:name w:val="Верхний колонтитул Знак"/>
    <w:basedOn w:val="DefaultParagraphFont"/>
    <w:uiPriority w:val="99"/>
    <w:qFormat/>
    <w:rsid w:val="006a4444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Style6" w:customStyle="1">
    <w:name w:val="Нижний колонтитул Знак"/>
    <w:basedOn w:val="DefaultParagraphFont"/>
    <w:qFormat/>
    <w:rsid w:val="006a4444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PlaceholderText">
    <w:name w:val="Placeholder Text"/>
    <w:basedOn w:val="DefaultParagraphFont"/>
    <w:uiPriority w:val="99"/>
    <w:semiHidden/>
    <w:qFormat/>
    <w:rsid w:val="007e1d61"/>
    <w:rPr>
      <w:color w:val="808080"/>
    </w:rPr>
  </w:style>
  <w:style w:type="character" w:styleId="Style7" w:customStyle="1">
    <w:name w:val="Текст выноски Знак"/>
    <w:basedOn w:val="DefaultParagraphFont"/>
    <w:link w:val="BalloonText"/>
    <w:uiPriority w:val="99"/>
    <w:semiHidden/>
    <w:qFormat/>
    <w:rsid w:val="00ef4a2b"/>
    <w:rPr>
      <w:rFonts w:ascii="Tahoma" w:hAnsi="Tahoma" w:eastAsia="Times New Roman" w:cs="Tahoma"/>
      <w:sz w:val="16"/>
      <w:szCs w:val="16"/>
      <w:lang w:eastAsia="ru-RU"/>
    </w:rPr>
  </w:style>
  <w:style w:type="character" w:styleId="Hyperlink">
    <w:name w:val="Hyperlink"/>
    <w:basedOn w:val="DefaultParagraphFont"/>
    <w:uiPriority w:val="99"/>
    <w:unhideWhenUsed/>
    <w:rsid w:val="006e4113"/>
    <w:rPr>
      <w:color w:val="0000FF"/>
      <w:u w:val="single"/>
    </w:rPr>
  </w:style>
  <w:style w:type="character" w:styleId="Annotationreference">
    <w:name w:val="annotation reference"/>
    <w:basedOn w:val="DefaultParagraphFont"/>
    <w:uiPriority w:val="99"/>
    <w:semiHidden/>
    <w:unhideWhenUsed/>
    <w:qFormat/>
    <w:rsid w:val="007058f4"/>
    <w:rPr>
      <w:sz w:val="16"/>
      <w:szCs w:val="16"/>
    </w:rPr>
  </w:style>
  <w:style w:type="character" w:styleId="Style8" w:customStyle="1">
    <w:name w:val="Текст примечания Знак"/>
    <w:basedOn w:val="DefaultParagraphFont"/>
    <w:link w:val="Annotationtext"/>
    <w:uiPriority w:val="99"/>
    <w:semiHidden/>
    <w:qFormat/>
    <w:rsid w:val="007058f4"/>
    <w:rPr>
      <w:sz w:val="20"/>
      <w:szCs w:val="20"/>
    </w:rPr>
  </w:style>
  <w:style w:type="character" w:styleId="1" w:customStyle="1">
    <w:name w:val="ТаблНом 1 Знак"/>
    <w:basedOn w:val="DefaultParagraphFont"/>
    <w:link w:val="15"/>
    <w:qFormat/>
    <w:rsid w:val="00117f7f"/>
    <w:rPr>
      <w:rFonts w:ascii="Times New Roman" w:hAnsi="Times New Roman" w:eastAsia="Times New Roman" w:cs="Times New Roman"/>
      <w:color w:val="000000" w:themeColor="text1"/>
      <w:sz w:val="24"/>
      <w:szCs w:val="24"/>
    </w:rPr>
  </w:style>
  <w:style w:type="character" w:styleId="Style9" w:customStyle="1">
    <w:name w:val="Табл текст Знак"/>
    <w:basedOn w:val="Style11"/>
    <w:link w:val="Style23"/>
    <w:qFormat/>
    <w:rsid w:val="008d4e77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2" w:customStyle="1">
    <w:name w:val="ТаблНом 2 Знак"/>
    <w:basedOn w:val="DefaultParagraphFont"/>
    <w:link w:val="24"/>
    <w:uiPriority w:val="1"/>
    <w:qFormat/>
    <w:rsid w:val="00117f7f"/>
    <w:rPr>
      <w:rFonts w:ascii="Times New Roman" w:hAnsi="Times New Roman" w:eastAsia="Times New Roman" w:cs="Times New Roman"/>
      <w:color w:val="000000" w:themeColor="text1"/>
      <w:sz w:val="24"/>
      <w:szCs w:val="24"/>
    </w:rPr>
  </w:style>
  <w:style w:type="character" w:styleId="Style10" w:customStyle="1">
    <w:name w:val="Основной текст Знак"/>
    <w:basedOn w:val="DefaultParagraphFont"/>
    <w:uiPriority w:val="99"/>
    <w:semiHidden/>
    <w:qFormat/>
    <w:rsid w:val="000711d8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Style11" w:customStyle="1">
    <w:name w:val="Красная строка Знак"/>
    <w:basedOn w:val="Style10"/>
    <w:link w:val="BodyTextIndent1"/>
    <w:uiPriority w:val="99"/>
    <w:semiHidden/>
    <w:qFormat/>
    <w:rsid w:val="008d4e77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11" w:customStyle="1">
    <w:name w:val="Маркер 1 Знак"/>
    <w:link w:val="17"/>
    <w:qFormat/>
    <w:rsid w:val="008d4e77"/>
    <w:rPr>
      <w:rFonts w:ascii="Times New Roman" w:hAnsi="Times New Roman" w:eastAsia="Calibri" w:cs="Times New Roman"/>
      <w:color w:val="000000" w:themeColor="text1"/>
      <w:sz w:val="24"/>
      <w:szCs w:val="20"/>
    </w:rPr>
  </w:style>
  <w:style w:type="character" w:styleId="21" w:customStyle="1">
    <w:name w:val="Маркер 2 Знак"/>
    <w:basedOn w:val="DefaultParagraphFont"/>
    <w:link w:val="25"/>
    <w:qFormat/>
    <w:rsid w:val="008d4e77"/>
    <w:rPr>
      <w:rFonts w:ascii="Times New Roman" w:hAnsi="Times New Roman" w:eastAsia="Times New Roman" w:cs="Times New Roman"/>
      <w:sz w:val="24"/>
      <w:szCs w:val="20"/>
    </w:rPr>
  </w:style>
  <w:style w:type="character" w:styleId="Style12" w:customStyle="1">
    <w:name w:val="Рис название Знак"/>
    <w:basedOn w:val="DefaultParagraphFont"/>
    <w:link w:val="Style24"/>
    <w:qFormat/>
    <w:rsid w:val="008d4e77"/>
    <w:rPr>
      <w:rFonts w:ascii="Times New Roman" w:hAnsi="Times New Roman"/>
      <w:bCs/>
      <w:color w:val="000000" w:themeColor="text1"/>
      <w:sz w:val="24"/>
      <w:szCs w:val="18"/>
    </w:rPr>
  </w:style>
  <w:style w:type="character" w:styleId="Style13" w:customStyle="1">
    <w:name w:val="Табл название Знак"/>
    <w:basedOn w:val="DefaultParagraphFont"/>
    <w:link w:val="Style25"/>
    <w:qFormat/>
    <w:rsid w:val="008d4e77"/>
    <w:rPr>
      <w:rFonts w:ascii="Times New Roman" w:hAnsi="Times New Roman"/>
      <w:bCs/>
      <w:sz w:val="24"/>
      <w:szCs w:val="18"/>
    </w:rPr>
  </w:style>
  <w:style w:type="character" w:styleId="Style14" w:customStyle="1">
    <w:name w:val="КрСтрока Знак"/>
    <w:basedOn w:val="Style11"/>
    <w:link w:val="Style26"/>
    <w:qFormat/>
    <w:rsid w:val="008d4e77"/>
    <w:rPr>
      <w:rFonts w:ascii="Times New Roman" w:hAnsi="Times New Roman" w:eastAsia="Times New Roman" w:cs="Times New Roman"/>
      <w:color w:val="000000" w:themeColor="text1"/>
      <w:sz w:val="24"/>
      <w:szCs w:val="20"/>
      <w:lang w:eastAsia="ru-RU"/>
    </w:rPr>
  </w:style>
  <w:style w:type="character" w:styleId="Style15" w:customStyle="1">
    <w:name w:val="Полужирный Знак"/>
    <w:basedOn w:val="Style11"/>
    <w:link w:val="Style27"/>
    <w:qFormat/>
    <w:rsid w:val="008d4e77"/>
    <w:rPr>
      <w:rFonts w:ascii="Times New Roman" w:hAnsi="Times New Roman" w:eastAsia="Times New Roman" w:cs="Times New Roman"/>
      <w:b/>
      <w:color w:val="000000" w:themeColor="text1"/>
      <w:sz w:val="24"/>
      <w:szCs w:val="20"/>
      <w:u w:val="single"/>
      <w:lang w:eastAsia="ru-RU"/>
    </w:rPr>
  </w:style>
  <w:style w:type="character" w:styleId="Style16" w:customStyle="1">
    <w:name w:val="Рисунок Знак"/>
    <w:basedOn w:val="DefaultParagraphFont"/>
    <w:link w:val="TableofFigures"/>
    <w:qFormat/>
    <w:rsid w:val="008d4e77"/>
    <w:rPr>
      <w:rFonts w:ascii="Times New Roman" w:hAnsi="Times New Roman"/>
      <w:bCs/>
      <w:color w:val="000000" w:themeColor="text1"/>
      <w:sz w:val="24"/>
      <w:szCs w:val="18"/>
    </w:rPr>
  </w:style>
  <w:style w:type="character" w:styleId="Style17" w:customStyle="1">
    <w:name w:val="Шрифт СТП"/>
    <w:basedOn w:val="DefaultParagraphFont"/>
    <w:uiPriority w:val="1"/>
    <w:qFormat/>
    <w:rsid w:val="008d4e77"/>
    <w:rPr>
      <w:rFonts w:ascii="Times New Roman" w:hAnsi="Times New Roman" w:cs="Times New Roman"/>
      <w:color w:val="000000" w:themeColor="text1"/>
      <w:sz w:val="24"/>
      <w:szCs w:val="24"/>
    </w:rPr>
  </w:style>
  <w:style w:type="character" w:styleId="22" w:customStyle="1">
    <w:name w:val="Номер 2 Знак"/>
    <w:basedOn w:val="14"/>
    <w:link w:val="26"/>
    <w:qFormat/>
    <w:rsid w:val="008d4e77"/>
    <w:rPr>
      <w:rFonts w:ascii="Times New Roman" w:hAnsi="Times New Roman" w:eastAsia="Times New Roman" w:cs="Times New Roman"/>
      <w:color w:val="000000" w:themeColor="text1"/>
      <w:sz w:val="24"/>
      <w:szCs w:val="24"/>
    </w:rPr>
  </w:style>
  <w:style w:type="character" w:styleId="3" w:customStyle="1">
    <w:name w:val="Номер 3 Знак"/>
    <w:basedOn w:val="14"/>
    <w:link w:val="35"/>
    <w:qFormat/>
    <w:rsid w:val="008d4e77"/>
    <w:rPr>
      <w:rFonts w:ascii="Times New Roman" w:hAnsi="Times New Roman" w:eastAsia="Times New Roman" w:cs="Times New Roman"/>
      <w:color w:val="000000" w:themeColor="text1"/>
      <w:sz w:val="24"/>
      <w:szCs w:val="24"/>
    </w:rPr>
  </w:style>
  <w:style w:type="character" w:styleId="12" w:customStyle="1">
    <w:name w:val="ТаблМаркер 1 Знак"/>
    <w:basedOn w:val="DefaultParagraphFont"/>
    <w:link w:val="18"/>
    <w:qFormat/>
    <w:rsid w:val="008d4e77"/>
    <w:rPr>
      <w:rFonts w:ascii="Times New Roman" w:hAnsi="Times New Roman" w:cs="Times New Roman"/>
      <w:sz w:val="24"/>
      <w:szCs w:val="24"/>
    </w:rPr>
  </w:style>
  <w:style w:type="character" w:styleId="Style18" w:customStyle="1">
    <w:name w:val="НазванБезСодержания Знак"/>
    <w:basedOn w:val="Style14"/>
    <w:link w:val="Style28"/>
    <w:qFormat/>
    <w:rsid w:val="008d4e77"/>
    <w:rPr>
      <w:rFonts w:ascii="Times New Roman Полужирный" w:hAnsi="Times New Roman Полужирный" w:eastAsia="Times New Roman" w:cs="Times New Roman"/>
      <w:b/>
      <w:caps/>
      <w:color w:val="000000" w:themeColor="text1"/>
      <w:spacing w:val="20"/>
      <w:sz w:val="32"/>
      <w:szCs w:val="32"/>
      <w:lang w:eastAsia="ru-RU"/>
    </w:rPr>
  </w:style>
  <w:style w:type="character" w:styleId="Style19" w:customStyle="1">
    <w:name w:val="ТаблПрим Знак"/>
    <w:basedOn w:val="Style9"/>
    <w:link w:val="Style29"/>
    <w:qFormat/>
    <w:rsid w:val="008d4e77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13" w:customStyle="1">
    <w:name w:val="Заголовок 1 Знак"/>
    <w:basedOn w:val="DefaultParagraphFont"/>
    <w:uiPriority w:val="9"/>
    <w:qFormat/>
    <w:rsid w:val="008d4e77"/>
    <w:rPr>
      <w:rFonts w:ascii="Times New Roman" w:hAnsi="Times New Roman" w:cs="" w:cstheme="majorBidi"/>
      <w:b/>
      <w:caps/>
      <w:color w:val="000000" w:themeColor="text1"/>
      <w:sz w:val="32"/>
      <w:szCs w:val="32"/>
    </w:rPr>
  </w:style>
  <w:style w:type="character" w:styleId="23" w:customStyle="1">
    <w:name w:val="Заголовок 2 Знак"/>
    <w:basedOn w:val="DefaultParagraphFont"/>
    <w:semiHidden/>
    <w:qFormat/>
    <w:rsid w:val="008d4e77"/>
    <w:rPr>
      <w:rFonts w:ascii="Times New Roman" w:hAnsi="Times New Roman" w:eastAsia="" w:cs="" w:cstheme="majorBidi" w:eastAsiaTheme="majorEastAsia"/>
      <w:b/>
      <w:bCs/>
      <w:caps/>
      <w:color w:val="000000" w:themeColor="text1"/>
      <w:sz w:val="28"/>
      <w:szCs w:val="28"/>
    </w:rPr>
  </w:style>
  <w:style w:type="character" w:styleId="31" w:customStyle="1">
    <w:name w:val="Заголовок 3 Знак"/>
    <w:basedOn w:val="DefaultParagraphFont"/>
    <w:semiHidden/>
    <w:qFormat/>
    <w:rsid w:val="008d4e77"/>
    <w:rPr>
      <w:rFonts w:ascii="Times New Roman" w:hAnsi="Times New Roman" w:eastAsia="" w:cs="" w:cstheme="majorBidi" w:eastAsiaTheme="majorEastAsia"/>
      <w:b/>
      <w:bCs/>
      <w:sz w:val="28"/>
    </w:rPr>
  </w:style>
  <w:style w:type="character" w:styleId="4" w:customStyle="1">
    <w:name w:val="Заголовок 4 Знак"/>
    <w:basedOn w:val="DefaultParagraphFont"/>
    <w:semiHidden/>
    <w:qFormat/>
    <w:rsid w:val="008d4e77"/>
    <w:rPr>
      <w:rFonts w:ascii="Times New Roman" w:hAnsi="Times New Roman" w:eastAsia="" w:cs="Times New Roman" w:eastAsiaTheme="majorEastAsia"/>
      <w:b/>
      <w:bCs/>
      <w:iCs/>
      <w:sz w:val="28"/>
      <w:szCs w:val="24"/>
    </w:rPr>
  </w:style>
  <w:style w:type="character" w:styleId="9" w:customStyle="1">
    <w:name w:val="Заголовок 9 Знак"/>
    <w:basedOn w:val="DefaultParagraphFont"/>
    <w:uiPriority w:val="9"/>
    <w:semiHidden/>
    <w:qFormat/>
    <w:rsid w:val="008d4e77"/>
    <w:rPr>
      <w:rFonts w:ascii="Cambria" w:hAnsi="Cambria" w:eastAsia="" w:cs="" w:asciiTheme="majorHAnsi" w:cstheme="majorBidi" w:eastAsiaTheme="majorEastAsia" w:hAnsiTheme="majorHAnsi"/>
      <w:i/>
      <w:iCs/>
      <w:color w:val="404040" w:themeColor="text1" w:themeTint="bf"/>
      <w:sz w:val="20"/>
      <w:szCs w:val="20"/>
    </w:rPr>
  </w:style>
  <w:style w:type="character" w:styleId="14" w:customStyle="1">
    <w:name w:val="Номер 1 Знак"/>
    <w:basedOn w:val="DefaultParagraphFont"/>
    <w:link w:val="16"/>
    <w:qFormat/>
    <w:rsid w:val="008d4e77"/>
    <w:rPr>
      <w:rFonts w:ascii="Times New Roman" w:hAnsi="Times New Roman" w:eastAsia="Times New Roman" w:cs="Times New Roman"/>
      <w:color w:val="000000" w:themeColor="text1"/>
      <w:sz w:val="24"/>
      <w:szCs w:val="24"/>
    </w:rPr>
  </w:style>
  <w:style w:type="character" w:styleId="32" w:customStyle="1">
    <w:name w:val="ТаблНом 3 Знак"/>
    <w:basedOn w:val="2"/>
    <w:link w:val="33"/>
    <w:uiPriority w:val="1"/>
    <w:qFormat/>
    <w:rsid w:val="008d4e77"/>
    <w:rPr>
      <w:rFonts w:ascii="Times New Roman" w:hAnsi="Times New Roman" w:eastAsia="Times New Roman" w:cs="Times New Roman"/>
      <w:color w:val="000000" w:themeColor="text1"/>
      <w:sz w:val="24"/>
      <w:szCs w:val="24"/>
    </w:rPr>
  </w:style>
  <w:style w:type="character" w:styleId="FollowedHyperlink">
    <w:name w:val="FollowedHyperlink"/>
    <w:basedOn w:val="DefaultParagraphFont"/>
    <w:uiPriority w:val="99"/>
    <w:semiHidden/>
    <w:unhideWhenUsed/>
    <w:rsid w:val="005b7d07"/>
    <w:rPr>
      <w:color w:val="800080" w:themeColor="followedHyperlink"/>
      <w:u w:val="single"/>
    </w:rPr>
  </w:style>
  <w:style w:type="paragraph" w:styleId="Style20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Arial Unicode MS" w:cs="Arial Unicode MS"/>
      <w:sz w:val="28"/>
      <w:szCs w:val="28"/>
    </w:rPr>
  </w:style>
  <w:style w:type="paragraph" w:styleId="BodyText">
    <w:name w:val="Body Text"/>
    <w:basedOn w:val="Normal"/>
    <w:link w:val="Style10"/>
    <w:uiPriority w:val="99"/>
    <w:semiHidden/>
    <w:unhideWhenUsed/>
    <w:rsid w:val="000711d8"/>
    <w:pPr>
      <w:spacing w:before="0" w:after="120"/>
    </w:pPr>
    <w:rPr/>
  </w:style>
  <w:style w:type="paragraph" w:styleId="List">
    <w:name w:val="List"/>
    <w:basedOn w:val="BodyText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Style21">
    <w:name w:val="Указатель"/>
    <w:basedOn w:val="Normal"/>
    <w:qFormat/>
    <w:pPr>
      <w:suppressLineNumbers/>
    </w:pPr>
    <w:rPr/>
  </w:style>
  <w:style w:type="paragraph" w:styleId="BodyTextIndent">
    <w:name w:val="Body Text Indent"/>
    <w:basedOn w:val="Normal"/>
    <w:link w:val="Style4"/>
    <w:rsid w:val="002e1e10"/>
    <w:pPr>
      <w:spacing w:before="0" w:after="120"/>
      <w:ind w:firstLine="851"/>
      <w:jc w:val="both"/>
    </w:pPr>
    <w:rPr/>
  </w:style>
  <w:style w:type="paragraph" w:styleId="NoSpacing">
    <w:name w:val="No Spacing"/>
    <w:uiPriority w:val="1"/>
    <w:qFormat/>
    <w:rsid w:val="002e1e10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ListParagraph">
    <w:name w:val="List Paragraph"/>
    <w:basedOn w:val="Normal"/>
    <w:uiPriority w:val="34"/>
    <w:qFormat/>
    <w:rsid w:val="006a4444"/>
    <w:pPr>
      <w:spacing w:before="0" w:after="0"/>
      <w:ind w:left="720" w:hanging="0"/>
      <w:contextualSpacing/>
    </w:pPr>
    <w:rPr/>
  </w:style>
  <w:style w:type="paragraph" w:styleId="ListNumber2">
    <w:name w:val="List Number 2"/>
    <w:basedOn w:val="Normal"/>
    <w:qFormat/>
    <w:rsid w:val="006a4444"/>
    <w:pPr>
      <w:numPr>
        <w:ilvl w:val="1"/>
        <w:numId w:val="1"/>
      </w:numPr>
      <w:spacing w:before="0" w:after="0"/>
      <w:contextualSpacing/>
    </w:pPr>
    <w:rPr/>
  </w:style>
  <w:style w:type="paragraph" w:styleId="Style22">
    <w:name w:val="Колонтитул"/>
    <w:basedOn w:val="Normal"/>
    <w:qFormat/>
    <w:pPr/>
    <w:rPr/>
  </w:style>
  <w:style w:type="paragraph" w:styleId="Header">
    <w:name w:val="Header"/>
    <w:basedOn w:val="Normal"/>
    <w:link w:val="Style5"/>
    <w:uiPriority w:val="99"/>
    <w:unhideWhenUsed/>
    <w:rsid w:val="006a4444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Footer">
    <w:name w:val="Footer"/>
    <w:basedOn w:val="Normal"/>
    <w:link w:val="Style6"/>
    <w:unhideWhenUsed/>
    <w:rsid w:val="006a4444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BalloonText">
    <w:name w:val="Balloon Text"/>
    <w:basedOn w:val="Normal"/>
    <w:link w:val="Style7"/>
    <w:uiPriority w:val="99"/>
    <w:semiHidden/>
    <w:unhideWhenUsed/>
    <w:qFormat/>
    <w:rsid w:val="00ef4a2b"/>
    <w:pPr/>
    <w:rPr>
      <w:rFonts w:ascii="Tahoma" w:hAnsi="Tahoma" w:cs="Tahoma"/>
      <w:sz w:val="16"/>
      <w:szCs w:val="16"/>
    </w:rPr>
  </w:style>
  <w:style w:type="paragraph" w:styleId="Annotationtext">
    <w:name w:val="annotation text"/>
    <w:basedOn w:val="Normal"/>
    <w:link w:val="Style8"/>
    <w:uiPriority w:val="99"/>
    <w:semiHidden/>
    <w:unhideWhenUsed/>
    <w:qFormat/>
    <w:rsid w:val="007058f4"/>
    <w:pPr>
      <w:spacing w:before="0" w:after="200"/>
    </w:pPr>
    <w:rPr>
      <w:rFonts w:ascii="Calibri" w:hAnsi="Calibri" w:eastAsia="Calibri" w:cs="" w:asciiTheme="minorHAnsi" w:cstheme="minorBidi" w:eastAsiaTheme="minorHAnsi" w:hAnsiTheme="minorHAnsi"/>
      <w:sz w:val="20"/>
      <w:szCs w:val="20"/>
      <w:lang w:eastAsia="en-US"/>
    </w:rPr>
  </w:style>
  <w:style w:type="paragraph" w:styleId="24" w:customStyle="1">
    <w:name w:val="ТаблНом 2"/>
    <w:basedOn w:val="Normal"/>
    <w:link w:val="2"/>
    <w:uiPriority w:val="1"/>
    <w:qFormat/>
    <w:rsid w:val="00117f7f"/>
    <w:pPr>
      <w:numPr>
        <w:ilvl w:val="1"/>
        <w:numId w:val="8"/>
      </w:numPr>
      <w:spacing w:before="60" w:after="60"/>
    </w:pPr>
    <w:rPr>
      <w:color w:val="000000" w:themeColor="text1"/>
      <w:lang w:eastAsia="en-US"/>
    </w:rPr>
  </w:style>
  <w:style w:type="paragraph" w:styleId="15" w:customStyle="1">
    <w:name w:val="ТаблНом 1"/>
    <w:link w:val="1"/>
    <w:qFormat/>
    <w:rsid w:val="00117f7f"/>
    <w:pPr>
      <w:widowControl/>
      <w:numPr>
        <w:ilvl w:val="0"/>
        <w:numId w:val="8"/>
      </w:numPr>
      <w:suppressAutoHyphens w:val="true"/>
      <w:bidi w:val="0"/>
      <w:spacing w:lineRule="auto" w:line="240" w:before="60" w:after="60"/>
      <w:ind w:left="0" w:hanging="0"/>
      <w:jc w:val="left"/>
    </w:pPr>
    <w:rPr>
      <w:rFonts w:ascii="Times New Roman" w:hAnsi="Times New Roman" w:eastAsia="Times New Roman" w:cs="Times New Roman"/>
      <w:color w:val="000000" w:themeColor="text1"/>
      <w:kern w:val="0"/>
      <w:sz w:val="24"/>
      <w:szCs w:val="24"/>
      <w:lang w:val="ru-RU" w:eastAsia="en-US" w:bidi="ar-SA"/>
    </w:rPr>
  </w:style>
  <w:style w:type="paragraph" w:styleId="33" w:customStyle="1">
    <w:name w:val="ТаблНом 3"/>
    <w:basedOn w:val="24"/>
    <w:link w:val="32"/>
    <w:uiPriority w:val="1"/>
    <w:qFormat/>
    <w:rsid w:val="008d4e77"/>
    <w:pPr>
      <w:numPr>
        <w:ilvl w:val="2"/>
        <w:numId w:val="9"/>
      </w:numPr>
    </w:pPr>
    <w:rPr/>
  </w:style>
  <w:style w:type="paragraph" w:styleId="16" w:customStyle="1">
    <w:name w:val="Номер 1"/>
    <w:basedOn w:val="Style26"/>
    <w:link w:val="14"/>
    <w:qFormat/>
    <w:rsid w:val="008d4e77"/>
    <w:pPr>
      <w:numPr>
        <w:ilvl w:val="0"/>
        <w:numId w:val="7"/>
      </w:numPr>
    </w:pPr>
    <w:rPr>
      <w:szCs w:val="24"/>
    </w:rPr>
  </w:style>
  <w:style w:type="paragraph" w:styleId="Style23" w:customStyle="1">
    <w:name w:val="Табл текст"/>
    <w:basedOn w:val="BodyTextIndent1"/>
    <w:link w:val="Style9"/>
    <w:qFormat/>
    <w:rsid w:val="008d4e77"/>
    <w:pPr>
      <w:spacing w:before="60" w:after="60"/>
      <w:ind w:hanging="0"/>
    </w:pPr>
    <w:rPr/>
  </w:style>
  <w:style w:type="paragraph" w:styleId="BodyTextIndent1">
    <w:name w:val="Body Text Indent1"/>
    <w:basedOn w:val="BodyText"/>
    <w:link w:val="Style11"/>
    <w:uiPriority w:val="99"/>
    <w:semiHidden/>
    <w:unhideWhenUsed/>
    <w:qFormat/>
    <w:rsid w:val="008d4e77"/>
    <w:pPr>
      <w:ind w:firstLine="851"/>
      <w:jc w:val="both"/>
    </w:pPr>
    <w:rPr>
      <w:rFonts w:eastAsia="Calibri" w:cs="" w:cstheme="minorBidi" w:eastAsiaTheme="minorHAnsi"/>
      <w:szCs w:val="22"/>
      <w:lang w:eastAsia="en-US"/>
    </w:rPr>
  </w:style>
  <w:style w:type="paragraph" w:styleId="17" w:customStyle="1">
    <w:name w:val="Маркер 1"/>
    <w:basedOn w:val="Style26"/>
    <w:link w:val="11"/>
    <w:qFormat/>
    <w:rsid w:val="008d4e77"/>
    <w:pPr>
      <w:numPr>
        <w:ilvl w:val="0"/>
        <w:numId w:val="6"/>
      </w:numPr>
    </w:pPr>
    <w:rPr>
      <w:rFonts w:eastAsia="Calibri"/>
    </w:rPr>
  </w:style>
  <w:style w:type="paragraph" w:styleId="25" w:customStyle="1">
    <w:name w:val="Маркер 2"/>
    <w:link w:val="21"/>
    <w:qFormat/>
    <w:rsid w:val="008d4e77"/>
    <w:pPr>
      <w:widowControl/>
      <w:numPr>
        <w:ilvl w:val="1"/>
        <w:numId w:val="6"/>
      </w:numPr>
      <w:tabs>
        <w:tab w:val="clear" w:pos="708"/>
        <w:tab w:val="left" w:pos="1276" w:leader="none"/>
      </w:tabs>
      <w:suppressAutoHyphens w:val="true"/>
      <w:bidi w:val="0"/>
      <w:spacing w:lineRule="auto" w:line="240" w:before="0" w:after="120"/>
      <w:jc w:val="both"/>
    </w:pPr>
    <w:rPr>
      <w:rFonts w:ascii="Times New Roman" w:hAnsi="Times New Roman" w:eastAsia="Times New Roman" w:cs="Times New Roman"/>
      <w:color w:val="auto"/>
      <w:kern w:val="0"/>
      <w:sz w:val="24"/>
      <w:szCs w:val="20"/>
      <w:lang w:val="ru-RU" w:eastAsia="en-US" w:bidi="ar-SA"/>
    </w:rPr>
  </w:style>
  <w:style w:type="paragraph" w:styleId="34" w:customStyle="1">
    <w:name w:val="Маркер 3"/>
    <w:qFormat/>
    <w:rsid w:val="008d4e77"/>
    <w:pPr>
      <w:widowControl/>
      <w:numPr>
        <w:ilvl w:val="2"/>
        <w:numId w:val="6"/>
      </w:numPr>
      <w:suppressAutoHyphens w:val="true"/>
      <w:bidi w:val="0"/>
      <w:spacing w:lineRule="auto" w:line="240" w:before="0" w:after="120"/>
      <w:jc w:val="both"/>
    </w:pPr>
    <w:rPr>
      <w:rFonts w:ascii="Times New Roman" w:hAnsi="Times New Roman" w:eastAsia="Times New Roman" w:cs="Times New Roman"/>
      <w:color w:val="auto"/>
      <w:kern w:val="0"/>
      <w:sz w:val="24"/>
      <w:szCs w:val="20"/>
      <w:lang w:val="ru-RU" w:eastAsia="en-US" w:bidi="ar-SA"/>
    </w:rPr>
  </w:style>
  <w:style w:type="paragraph" w:styleId="Style24" w:customStyle="1">
    <w:name w:val="Рис название"/>
    <w:link w:val="Style12"/>
    <w:qFormat/>
    <w:rsid w:val="008d4e77"/>
    <w:pPr>
      <w:keepNext w:val="true"/>
      <w:widowControl/>
      <w:suppressAutoHyphens w:val="true"/>
      <w:bidi w:val="0"/>
      <w:spacing w:lineRule="auto" w:line="276" w:before="120" w:after="120"/>
      <w:jc w:val="center"/>
    </w:pPr>
    <w:rPr>
      <w:rFonts w:ascii="Times New Roman" w:hAnsi="Times New Roman" w:eastAsia="Calibri" w:cs=""/>
      <w:bCs/>
      <w:color w:val="000000" w:themeColor="text1"/>
      <w:kern w:val="0"/>
      <w:sz w:val="24"/>
      <w:szCs w:val="18"/>
      <w:lang w:val="ru-RU" w:eastAsia="en-US" w:bidi="ar-SA"/>
    </w:rPr>
  </w:style>
  <w:style w:type="paragraph" w:styleId="Style25" w:customStyle="1">
    <w:name w:val="Табл название"/>
    <w:next w:val="Style26"/>
    <w:link w:val="Style13"/>
    <w:qFormat/>
    <w:rsid w:val="008d4e77"/>
    <w:pPr>
      <w:keepNext w:val="true"/>
      <w:widowControl/>
      <w:suppressAutoHyphens w:val="true"/>
      <w:bidi w:val="0"/>
      <w:spacing w:lineRule="auto" w:line="240" w:before="0" w:after="120"/>
      <w:jc w:val="left"/>
    </w:pPr>
    <w:rPr>
      <w:rFonts w:ascii="Times New Roman" w:hAnsi="Times New Roman" w:eastAsia="Calibri" w:cs="" w:cstheme="minorBidi" w:eastAsiaTheme="minorHAnsi"/>
      <w:bCs/>
      <w:color w:val="auto"/>
      <w:kern w:val="0"/>
      <w:sz w:val="24"/>
      <w:szCs w:val="18"/>
      <w:lang w:val="ru-RU" w:eastAsia="en-US" w:bidi="ar-SA"/>
    </w:rPr>
  </w:style>
  <w:style w:type="paragraph" w:styleId="Style26" w:customStyle="1">
    <w:name w:val="КрСтрока"/>
    <w:link w:val="Style14"/>
    <w:qFormat/>
    <w:rsid w:val="008d4e77"/>
    <w:pPr>
      <w:widowControl/>
      <w:suppressAutoHyphens w:val="true"/>
      <w:bidi w:val="0"/>
      <w:spacing w:lineRule="auto" w:line="240" w:before="0" w:after="120"/>
      <w:ind w:firstLine="851"/>
      <w:jc w:val="both"/>
    </w:pPr>
    <w:rPr>
      <w:rFonts w:ascii="Times New Roman" w:hAnsi="Times New Roman" w:eastAsia="Times New Roman" w:cs="Times New Roman"/>
      <w:color w:val="000000" w:themeColor="text1"/>
      <w:kern w:val="0"/>
      <w:sz w:val="24"/>
      <w:szCs w:val="20"/>
      <w:lang w:val="ru-RU" w:eastAsia="en-US" w:bidi="ar-SA"/>
    </w:rPr>
  </w:style>
  <w:style w:type="paragraph" w:styleId="Style27" w:customStyle="1">
    <w:name w:val="Полужирный"/>
    <w:basedOn w:val="Style26"/>
    <w:next w:val="Style26"/>
    <w:link w:val="Style15"/>
    <w:qFormat/>
    <w:rsid w:val="008d4e77"/>
    <w:pPr>
      <w:keepNext w:val="true"/>
    </w:pPr>
    <w:rPr>
      <w:b/>
      <w:u w:val="single"/>
    </w:rPr>
  </w:style>
  <w:style w:type="paragraph" w:styleId="TableofFigures" w:customStyle="1">
    <w:name w:val="Table of Figures"/>
    <w:link w:val="Style16"/>
    <w:qFormat/>
    <w:rsid w:val="008d4e77"/>
    <w:pPr>
      <w:keepNext w:val="true"/>
      <w:widowControl/>
      <w:suppressAutoHyphens w:val="true"/>
      <w:bidi w:val="0"/>
      <w:spacing w:lineRule="auto" w:line="240" w:before="60" w:after="60"/>
      <w:jc w:val="center"/>
    </w:pPr>
    <w:rPr>
      <w:rFonts w:ascii="Times New Roman" w:hAnsi="Times New Roman" w:eastAsia="Calibri" w:cs=""/>
      <w:bCs/>
      <w:color w:val="000000" w:themeColor="text1"/>
      <w:kern w:val="0"/>
      <w:sz w:val="24"/>
      <w:szCs w:val="18"/>
      <w:lang w:val="ru-RU" w:eastAsia="en-US" w:bidi="ar-SA"/>
    </w:rPr>
  </w:style>
  <w:style w:type="paragraph" w:styleId="26" w:customStyle="1">
    <w:name w:val="Номер 2"/>
    <w:basedOn w:val="16"/>
    <w:link w:val="22"/>
    <w:qFormat/>
    <w:rsid w:val="008d4e77"/>
    <w:pPr>
      <w:numPr>
        <w:ilvl w:val="1"/>
        <w:numId w:val="3"/>
      </w:numPr>
      <w:tabs>
        <w:tab w:val="clear" w:pos="708"/>
        <w:tab w:val="left" w:pos="1247" w:leader="none"/>
      </w:tabs>
      <w:ind w:left="0" w:firstLine="851"/>
    </w:pPr>
    <w:rPr/>
  </w:style>
  <w:style w:type="paragraph" w:styleId="35" w:customStyle="1">
    <w:name w:val="Номер 3"/>
    <w:basedOn w:val="26"/>
    <w:link w:val="3"/>
    <w:qFormat/>
    <w:rsid w:val="008d4e77"/>
    <w:pPr>
      <w:numPr>
        <w:ilvl w:val="0"/>
        <w:numId w:val="0"/>
      </w:numPr>
      <w:tabs>
        <w:tab w:val="left" w:pos="1247" w:leader="none"/>
        <w:tab w:val="left" w:pos="1304" w:leader="none"/>
      </w:tabs>
      <w:ind w:left="0" w:firstLine="851"/>
    </w:pPr>
    <w:rPr/>
  </w:style>
  <w:style w:type="paragraph" w:styleId="18" w:customStyle="1">
    <w:name w:val="ТаблМаркер 1"/>
    <w:link w:val="12"/>
    <w:qFormat/>
    <w:rsid w:val="008d4e77"/>
    <w:pPr>
      <w:widowControl/>
      <w:numPr>
        <w:ilvl w:val="0"/>
        <w:numId w:val="2"/>
      </w:numPr>
      <w:tabs>
        <w:tab w:val="clear" w:pos="708"/>
        <w:tab w:val="left" w:pos="284" w:leader="none"/>
      </w:tabs>
      <w:suppressAutoHyphens w:val="true"/>
      <w:bidi w:val="0"/>
      <w:spacing w:lineRule="auto" w:line="240" w:before="60" w:after="60"/>
      <w:ind w:left="284" w:hanging="284"/>
      <w:jc w:val="left"/>
    </w:pPr>
    <w:rPr>
      <w:rFonts w:ascii="Times New Roman" w:hAnsi="Times New Roman" w:eastAsia="Calibri" w:cs="Times New Roman" w:eastAsiaTheme="minorHAnsi"/>
      <w:color w:val="auto"/>
      <w:kern w:val="0"/>
      <w:sz w:val="24"/>
      <w:szCs w:val="24"/>
      <w:lang w:val="ru-RU" w:eastAsia="en-US" w:bidi="ar-SA"/>
    </w:rPr>
  </w:style>
  <w:style w:type="paragraph" w:styleId="Style28" w:customStyle="1">
    <w:name w:val="НазванБезСодержания"/>
    <w:basedOn w:val="Style26"/>
    <w:link w:val="Style18"/>
    <w:qFormat/>
    <w:rsid w:val="008d4e77"/>
    <w:pPr>
      <w:spacing w:lineRule="auto" w:line="360"/>
      <w:ind w:hanging="0"/>
      <w:jc w:val="center"/>
    </w:pPr>
    <w:rPr>
      <w:rFonts w:ascii="Times New Roman Полужирный" w:hAnsi="Times New Roman Полужирный"/>
      <w:b/>
      <w:caps/>
      <w:spacing w:val="20"/>
      <w:sz w:val="32"/>
      <w:szCs w:val="32"/>
    </w:rPr>
  </w:style>
  <w:style w:type="paragraph" w:styleId="Style29" w:customStyle="1">
    <w:name w:val="ТаблПрим"/>
    <w:basedOn w:val="Style23"/>
    <w:link w:val="Style19"/>
    <w:qFormat/>
    <w:rsid w:val="008d4e77"/>
    <w:pPr>
      <w:ind w:firstLine="851"/>
    </w:pPr>
    <w:rPr/>
  </w:style>
  <w:style w:type="paragraph" w:styleId="TOC1">
    <w:name w:val="TOC 1"/>
    <w:basedOn w:val="Normal"/>
    <w:next w:val="Normal"/>
    <w:autoRedefine/>
    <w:uiPriority w:val="39"/>
    <w:semiHidden/>
    <w:unhideWhenUsed/>
    <w:rsid w:val="0029598a"/>
    <w:pPr>
      <w:spacing w:before="0" w:after="100"/>
    </w:pPr>
    <w:rPr/>
  </w:style>
  <w:style w:type="paragraph" w:styleId="Style30">
    <w:name w:val="Содержимое таблицы"/>
    <w:basedOn w:val="Normal"/>
    <w:qFormat/>
    <w:pPr>
      <w:widowControl w:val="false"/>
      <w:suppressLineNumbers/>
    </w:pPr>
    <w:rPr/>
  </w:style>
  <w:style w:type="paragraph" w:styleId="Style31">
    <w:name w:val="Заголовок таблицы"/>
    <w:basedOn w:val="Style30"/>
    <w:qFormat/>
    <w:pPr>
      <w:suppressLineNumbers/>
      <w:jc w:val="center"/>
    </w:pPr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3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8">
    <w:name w:val="Table Grid"/>
    <w:basedOn w:val="a3"/>
    <w:uiPriority w:val="59"/>
    <w:rsid w:val="006a4444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Application>AlterOffice/3.4.0.9$Linux_X86_64 LibreOffice_project/b8daf9e823b1a5463a2f48435ddc2e8696e7d4fc</Application>
  <AppVersion>15.0000</AppVersion>
  <DocSecurity>4</DocSecurity>
  <Pages>2</Pages>
  <Words>268</Words>
  <Characters>1640</Characters>
  <CharactersWithSpaces>1851</CharactersWithSpaces>
  <Paragraphs>90</Paragraphs>
  <Company>Мособлгидропроект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2026-07-29T07:29:00Z</dcterms:created>
  <dc:creator>ЛЕЛИЦКИЙ</dc:creator>
  <dc:description/>
  <dc:language>ru-RU</dc:language>
  <cp:lastModifiedBy>konovalovsv@corp.gidroogk.com</cp:lastModifiedBy>
  <cp:lastPrinted>2024-01-30T08:41:00Z</cp:lastPrinted>
  <dcterms:modified xsi:type="dcterms:W3CDTF">2026-08-20T10:12:00Z</dcterms:modified>
  <cp:revision>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